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F453AA" w14:textId="0BEC5745" w:rsidR="00EB56D5" w:rsidRPr="0024760A" w:rsidRDefault="00FD47DB" w:rsidP="00134738">
      <w:pPr>
        <w:spacing w:after="0"/>
        <w:rPr>
          <w:b/>
          <w:bCs/>
          <w:sz w:val="32"/>
          <w:szCs w:val="32"/>
          <w:lang w:val="en-US"/>
        </w:rPr>
      </w:pPr>
      <w:r w:rsidRPr="0024760A">
        <w:rPr>
          <w:b/>
          <w:bCs/>
          <w:sz w:val="32"/>
          <w:szCs w:val="32"/>
          <w:lang w:val="en-US"/>
        </w:rPr>
        <w:t>&lt;1&gt;</w:t>
      </w:r>
      <w:r w:rsidR="000E1AC9" w:rsidRPr="0024760A">
        <w:rPr>
          <w:b/>
          <w:bCs/>
          <w:sz w:val="32"/>
          <w:szCs w:val="32"/>
          <w:lang w:val="en-US"/>
        </w:rPr>
        <w:t xml:space="preserve">Data Collection </w:t>
      </w:r>
      <w:r w:rsidRPr="0024760A">
        <w:rPr>
          <w:b/>
          <w:bCs/>
          <w:sz w:val="32"/>
          <w:szCs w:val="32"/>
          <w:lang w:val="en-US"/>
        </w:rPr>
        <w:t>Re</w:t>
      </w:r>
      <w:r w:rsidR="000E1AC9" w:rsidRPr="0024760A">
        <w:rPr>
          <w:b/>
          <w:bCs/>
          <w:sz w:val="32"/>
          <w:szCs w:val="32"/>
          <w:lang w:val="en-US"/>
        </w:rPr>
        <w:t>port</w:t>
      </w:r>
    </w:p>
    <w:p w14:paraId="0F3A7B93" w14:textId="026602B7" w:rsidR="00EB56D5" w:rsidRPr="0024760A" w:rsidRDefault="000E1AC9" w:rsidP="00134738">
      <w:pPr>
        <w:spacing w:after="0"/>
        <w:rPr>
          <w:b/>
          <w:bCs/>
          <w:sz w:val="32"/>
          <w:szCs w:val="32"/>
          <w:lang w:val="en-US"/>
        </w:rPr>
      </w:pPr>
      <w:r w:rsidRPr="0024760A">
        <w:rPr>
          <w:b/>
          <w:bCs/>
          <w:sz w:val="32"/>
          <w:szCs w:val="32"/>
          <w:lang w:val="en-US"/>
        </w:rPr>
        <w:t>ICT Panel</w:t>
      </w:r>
      <w:r w:rsidR="009C304C" w:rsidRPr="0024760A">
        <w:rPr>
          <w:b/>
          <w:bCs/>
          <w:sz w:val="32"/>
          <w:szCs w:val="32"/>
          <w:lang w:val="en-US"/>
        </w:rPr>
        <w:t xml:space="preserve"> </w:t>
      </w:r>
      <w:r w:rsidR="00202DCB" w:rsidRPr="0024760A">
        <w:rPr>
          <w:b/>
          <w:bCs/>
          <w:sz w:val="32"/>
          <w:szCs w:val="32"/>
          <w:lang w:val="en-US"/>
        </w:rPr>
        <w:t xml:space="preserve">– </w:t>
      </w:r>
      <w:r w:rsidR="003F72A2" w:rsidRPr="0024760A">
        <w:rPr>
          <w:b/>
          <w:bCs/>
          <w:sz w:val="32"/>
          <w:szCs w:val="32"/>
          <w:lang w:val="en-US"/>
        </w:rPr>
        <w:t>6</w:t>
      </w:r>
      <w:r w:rsidRPr="0024760A">
        <w:rPr>
          <w:b/>
          <w:bCs/>
          <w:sz w:val="32"/>
          <w:szCs w:val="32"/>
          <w:lang w:val="en-US"/>
        </w:rPr>
        <w:t>th</w:t>
      </w:r>
      <w:r w:rsidR="009C304C" w:rsidRPr="0024760A">
        <w:rPr>
          <w:b/>
          <w:bCs/>
          <w:sz w:val="32"/>
          <w:szCs w:val="32"/>
          <w:lang w:val="en-US"/>
        </w:rPr>
        <w:t xml:space="preserve"> </w:t>
      </w:r>
      <w:r w:rsidR="00FD47DB" w:rsidRPr="0024760A">
        <w:rPr>
          <w:b/>
          <w:bCs/>
          <w:sz w:val="32"/>
          <w:szCs w:val="32"/>
          <w:lang w:val="en-US"/>
        </w:rPr>
        <w:t>edi</w:t>
      </w:r>
      <w:r w:rsidRPr="0024760A">
        <w:rPr>
          <w:b/>
          <w:bCs/>
          <w:sz w:val="32"/>
          <w:szCs w:val="32"/>
          <w:lang w:val="en-US"/>
        </w:rPr>
        <w:t>tion</w:t>
      </w:r>
    </w:p>
    <w:p w14:paraId="51A36F92" w14:textId="77777777" w:rsidR="00EB56D5" w:rsidRPr="0024760A" w:rsidRDefault="00EB56D5" w:rsidP="00EB56D5">
      <w:pPr>
        <w:jc w:val="both"/>
        <w:rPr>
          <w:lang w:val="en-US"/>
        </w:rPr>
      </w:pPr>
    </w:p>
    <w:p w14:paraId="05FC2496" w14:textId="3588192B" w:rsidR="00EB56D5" w:rsidRPr="0024760A" w:rsidRDefault="00FD47DB" w:rsidP="00EB56D5">
      <w:pPr>
        <w:jc w:val="both"/>
        <w:rPr>
          <w:b/>
          <w:bCs/>
          <w:sz w:val="24"/>
          <w:szCs w:val="24"/>
          <w:lang w:val="en-US"/>
        </w:rPr>
      </w:pPr>
      <w:r w:rsidRPr="0024760A">
        <w:rPr>
          <w:b/>
          <w:bCs/>
          <w:sz w:val="24"/>
          <w:szCs w:val="24"/>
          <w:lang w:val="en-US"/>
        </w:rPr>
        <w:t>&lt;2&gt;</w:t>
      </w:r>
      <w:r w:rsidR="00EB56D5" w:rsidRPr="0024760A">
        <w:rPr>
          <w:b/>
          <w:bCs/>
          <w:sz w:val="24"/>
          <w:szCs w:val="24"/>
          <w:lang w:val="en-US"/>
        </w:rPr>
        <w:t>I</w:t>
      </w:r>
      <w:r w:rsidRPr="0024760A">
        <w:rPr>
          <w:b/>
          <w:bCs/>
          <w:sz w:val="24"/>
          <w:szCs w:val="24"/>
          <w:lang w:val="en-US"/>
        </w:rPr>
        <w:t>ntrodu</w:t>
      </w:r>
      <w:r w:rsidR="00D5668E" w:rsidRPr="0024760A">
        <w:rPr>
          <w:b/>
          <w:bCs/>
          <w:sz w:val="24"/>
          <w:szCs w:val="24"/>
          <w:lang w:val="en-US"/>
        </w:rPr>
        <w:t>ction</w:t>
      </w:r>
    </w:p>
    <w:p w14:paraId="35143B3A" w14:textId="50253BF3" w:rsidR="00EB56D5" w:rsidRPr="0024760A" w:rsidRDefault="00F9376E" w:rsidP="00EB56D5">
      <w:pPr>
        <w:jc w:val="both"/>
        <w:rPr>
          <w:lang w:val="en-US"/>
        </w:rPr>
      </w:pPr>
      <w:r w:rsidRPr="00F9376E">
        <w:rPr>
          <w:lang w:val="en-US"/>
        </w:rPr>
        <w:t>The Brazilian Internet Steering Committee (CGI.br), through the Regional Center for Studies on the Development of the Information Society (Cetic.br), a department of the Brazilian Network Information Center (NIC.br)</w:t>
      </w:r>
      <w:r w:rsidR="00EB56D5" w:rsidRPr="0024760A">
        <w:rPr>
          <w:lang w:val="en-US"/>
        </w:rPr>
        <w:t>, present</w:t>
      </w:r>
      <w:r w:rsidR="008B316F">
        <w:rPr>
          <w:lang w:val="en-US"/>
        </w:rPr>
        <w:t>s the evaluation of data collection and processes associated with the results of the ICT Panel survey</w:t>
      </w:r>
      <w:r w:rsidR="00917B8B">
        <w:rPr>
          <w:lang w:val="en-US"/>
        </w:rPr>
        <w:t xml:space="preserve"> </w:t>
      </w:r>
      <w:r w:rsidR="00202DCB" w:rsidRPr="0024760A">
        <w:rPr>
          <w:lang w:val="en-US"/>
        </w:rPr>
        <w:t xml:space="preserve">– </w:t>
      </w:r>
      <w:r w:rsidR="003F72A2" w:rsidRPr="0024760A">
        <w:rPr>
          <w:lang w:val="en-US"/>
        </w:rPr>
        <w:t>6</w:t>
      </w:r>
      <w:r w:rsidR="008B316F">
        <w:rPr>
          <w:lang w:val="en-US"/>
        </w:rPr>
        <w:t>th Edition</w:t>
      </w:r>
      <w:r w:rsidR="00EB56D5" w:rsidRPr="0024760A">
        <w:rPr>
          <w:lang w:val="en-US"/>
        </w:rPr>
        <w:t xml:space="preserve">: </w:t>
      </w:r>
      <w:r w:rsidR="008B316F">
        <w:rPr>
          <w:lang w:val="en-US"/>
        </w:rPr>
        <w:t>Web survey on e-waste</w:t>
      </w:r>
      <w:r w:rsidR="00EB56D5" w:rsidRPr="0024760A">
        <w:rPr>
          <w:lang w:val="en-US"/>
        </w:rPr>
        <w:t>.</w:t>
      </w:r>
    </w:p>
    <w:p w14:paraId="24B3C45F" w14:textId="0BF8AE69" w:rsidR="00EB56D5" w:rsidRPr="0024760A" w:rsidRDefault="00584C6D" w:rsidP="00EB56D5">
      <w:pPr>
        <w:jc w:val="both"/>
        <w:rPr>
          <w:b/>
          <w:bCs/>
          <w:sz w:val="24"/>
          <w:szCs w:val="24"/>
          <w:lang w:val="en-US"/>
        </w:rPr>
      </w:pPr>
      <w:r w:rsidRPr="0024760A">
        <w:rPr>
          <w:b/>
          <w:bCs/>
          <w:sz w:val="24"/>
          <w:szCs w:val="24"/>
          <w:lang w:val="en-US"/>
        </w:rPr>
        <w:t>&lt;2&gt;</w:t>
      </w:r>
      <w:r w:rsidR="005746C3" w:rsidRPr="005746C3">
        <w:rPr>
          <w:b/>
          <w:bCs/>
          <w:sz w:val="24"/>
          <w:szCs w:val="24"/>
          <w:lang w:val="en-US"/>
        </w:rPr>
        <w:t>Data collection instruments</w:t>
      </w:r>
    </w:p>
    <w:p w14:paraId="1F814050" w14:textId="649FBADB" w:rsidR="00EB56D5" w:rsidRPr="0024760A" w:rsidRDefault="00584C6D" w:rsidP="00EB56D5">
      <w:pPr>
        <w:jc w:val="both"/>
        <w:rPr>
          <w:lang w:val="en-US"/>
        </w:rPr>
      </w:pPr>
      <w:r w:rsidRPr="0024760A">
        <w:rPr>
          <w:b/>
          <w:bCs/>
          <w:lang w:val="en-US"/>
        </w:rPr>
        <w:t>&lt;3&gt;</w:t>
      </w:r>
      <w:r w:rsidR="005746C3" w:rsidRPr="005746C3">
        <w:rPr>
          <w:b/>
          <w:bCs/>
          <w:lang w:val="en-US"/>
        </w:rPr>
        <w:t>Information about the data collection instruments</w:t>
      </w:r>
    </w:p>
    <w:p w14:paraId="0886F231" w14:textId="1D3E673A" w:rsidR="00EB56D5" w:rsidRPr="0024760A" w:rsidRDefault="005746C3" w:rsidP="00EB56D5">
      <w:pPr>
        <w:jc w:val="both"/>
        <w:rPr>
          <w:lang w:val="en-US"/>
        </w:rPr>
      </w:pPr>
      <w:r w:rsidRPr="005746C3">
        <w:rPr>
          <w:lang w:val="en-US"/>
        </w:rPr>
        <w:t>Data was collected using a structured web questionnaire containing closed-ended questions with predefined answers (single or multiple answers) and one open-ended question. It was self-administered, without the mediation of an interviewer</w:t>
      </w:r>
      <w:r w:rsidR="00EB56D5" w:rsidRPr="0024760A">
        <w:rPr>
          <w:lang w:val="en-US"/>
        </w:rPr>
        <w:t xml:space="preserve">. </w:t>
      </w:r>
    </w:p>
    <w:p w14:paraId="3C060430" w14:textId="4C4C09AA" w:rsidR="00EB56D5" w:rsidRPr="0024760A" w:rsidRDefault="0038608E" w:rsidP="00EB56D5">
      <w:pPr>
        <w:keepNext/>
        <w:jc w:val="both"/>
        <w:rPr>
          <w:b/>
          <w:bCs/>
          <w:lang w:val="en-US"/>
        </w:rPr>
      </w:pPr>
      <w:r w:rsidRPr="0024760A">
        <w:rPr>
          <w:b/>
          <w:bCs/>
          <w:lang w:val="en-US"/>
        </w:rPr>
        <w:t>&lt;3&gt;</w:t>
      </w:r>
      <w:r w:rsidR="005746C3" w:rsidRPr="005746C3">
        <w:rPr>
          <w:b/>
          <w:bCs/>
          <w:lang w:val="en-US"/>
        </w:rPr>
        <w:t>Themes</w:t>
      </w:r>
    </w:p>
    <w:p w14:paraId="29F27AE8" w14:textId="424D080A" w:rsidR="007B1A58" w:rsidRPr="0024760A" w:rsidRDefault="008B4C1B" w:rsidP="00EB56D5">
      <w:pPr>
        <w:jc w:val="both"/>
        <w:rPr>
          <w:lang w:val="en-US"/>
        </w:rPr>
      </w:pPr>
      <w:r w:rsidRPr="008B4C1B">
        <w:rPr>
          <w:lang w:val="en-US"/>
        </w:rPr>
        <w:t>The survey investigated activities carried out online and the devices used to access the Internet, using as a reference the indicators validated by the ICT Households survey, carried out by CGI.br, and usage indicators related to the following themes</w:t>
      </w:r>
      <w:r w:rsidR="00BA3893" w:rsidRPr="0024760A">
        <w:rPr>
          <w:lang w:val="en-US"/>
        </w:rPr>
        <w:t>:</w:t>
      </w:r>
    </w:p>
    <w:p w14:paraId="7DD6F284" w14:textId="77777777" w:rsidR="008B4C1B" w:rsidRDefault="008B4C1B" w:rsidP="003F72A2">
      <w:pPr>
        <w:pStyle w:val="PargrafodaLista"/>
        <w:numPr>
          <w:ilvl w:val="0"/>
          <w:numId w:val="12"/>
        </w:numPr>
        <w:rPr>
          <w:lang w:val="en-US"/>
        </w:rPr>
      </w:pPr>
      <w:r w:rsidRPr="008B4C1B">
        <w:rPr>
          <w:lang w:val="en-US"/>
        </w:rPr>
        <w:t>Activities carried out online</w:t>
      </w:r>
    </w:p>
    <w:p w14:paraId="17AEF8B9" w14:textId="77777777" w:rsidR="008B4C1B" w:rsidRDefault="008B4C1B" w:rsidP="008B4C1B">
      <w:pPr>
        <w:pStyle w:val="PargrafodaLista"/>
        <w:numPr>
          <w:ilvl w:val="0"/>
          <w:numId w:val="12"/>
        </w:numPr>
        <w:rPr>
          <w:lang w:val="en-US"/>
        </w:rPr>
      </w:pPr>
      <w:r w:rsidRPr="008B4C1B">
        <w:rPr>
          <w:lang w:val="en-US"/>
        </w:rPr>
        <w:t>Ownership of electronic devices</w:t>
      </w:r>
    </w:p>
    <w:p w14:paraId="77D16F09" w14:textId="365C8D8C" w:rsidR="008B4C1B" w:rsidRPr="008B4C1B" w:rsidRDefault="008B4C1B" w:rsidP="008B4C1B">
      <w:pPr>
        <w:pStyle w:val="PargrafodaLista"/>
        <w:numPr>
          <w:ilvl w:val="0"/>
          <w:numId w:val="12"/>
        </w:numPr>
        <w:rPr>
          <w:lang w:val="en-US"/>
        </w:rPr>
      </w:pPr>
      <w:r w:rsidRPr="008B4C1B">
        <w:rPr>
          <w:lang w:val="en-US"/>
        </w:rPr>
        <w:t>Disposal of electronic devices</w:t>
      </w:r>
    </w:p>
    <w:p w14:paraId="780E7154" w14:textId="3694349F" w:rsidR="00EB56D5" w:rsidRPr="0024760A" w:rsidRDefault="005E2167" w:rsidP="00EB56D5">
      <w:pPr>
        <w:jc w:val="both"/>
        <w:rPr>
          <w:b/>
          <w:bCs/>
          <w:sz w:val="24"/>
          <w:szCs w:val="24"/>
          <w:lang w:val="en-US"/>
        </w:rPr>
      </w:pPr>
      <w:r w:rsidRPr="0024760A">
        <w:rPr>
          <w:b/>
          <w:bCs/>
          <w:sz w:val="24"/>
          <w:szCs w:val="24"/>
          <w:lang w:val="en-US"/>
        </w:rPr>
        <w:t>&lt;2&gt;</w:t>
      </w:r>
      <w:r w:rsidR="00624FD2">
        <w:rPr>
          <w:b/>
          <w:bCs/>
          <w:sz w:val="24"/>
          <w:szCs w:val="24"/>
          <w:lang w:val="en-US"/>
        </w:rPr>
        <w:t>Field d</w:t>
      </w:r>
      <w:r w:rsidR="008B4C1B">
        <w:rPr>
          <w:b/>
          <w:bCs/>
          <w:sz w:val="24"/>
          <w:szCs w:val="24"/>
          <w:lang w:val="en-US"/>
        </w:rPr>
        <w:t>ata collection</w:t>
      </w:r>
    </w:p>
    <w:p w14:paraId="5D1E8EA9" w14:textId="0FE1C1BB" w:rsidR="00EB56D5" w:rsidRPr="0024760A" w:rsidRDefault="005E2167" w:rsidP="00EB56D5">
      <w:pPr>
        <w:jc w:val="both"/>
        <w:rPr>
          <w:lang w:val="en-US"/>
        </w:rPr>
      </w:pPr>
      <w:r w:rsidRPr="0024760A">
        <w:rPr>
          <w:b/>
          <w:bCs/>
          <w:lang w:val="en-US"/>
        </w:rPr>
        <w:t>&lt;3&gt;</w:t>
      </w:r>
      <w:r w:rsidR="008B4C1B">
        <w:rPr>
          <w:b/>
          <w:bCs/>
          <w:lang w:val="en-US"/>
        </w:rPr>
        <w:t>Data collection method</w:t>
      </w:r>
    </w:p>
    <w:p w14:paraId="7853E001" w14:textId="5908C71E" w:rsidR="00EB56D5" w:rsidRPr="0024760A" w:rsidRDefault="008B4C1B" w:rsidP="00EB56D5">
      <w:pPr>
        <w:jc w:val="both"/>
        <w:rPr>
          <w:lang w:val="en-US"/>
        </w:rPr>
      </w:pPr>
      <w:r w:rsidRPr="008B4C1B">
        <w:rPr>
          <w:lang w:val="en-US"/>
        </w:rPr>
        <w:t xml:space="preserve">The computer-assisted web interviewing [CAWI] collection method was </w:t>
      </w:r>
      <w:r w:rsidR="009D3FB8">
        <w:rPr>
          <w:lang w:val="en-US"/>
        </w:rPr>
        <w:t>employed</w:t>
      </w:r>
      <w:r w:rsidRPr="008B4C1B">
        <w:rPr>
          <w:lang w:val="en-US"/>
        </w:rPr>
        <w:t>, using a programmed and self-administered online questionnaire</w:t>
      </w:r>
      <w:r w:rsidR="00EB56D5" w:rsidRPr="0024760A">
        <w:rPr>
          <w:lang w:val="en-US"/>
        </w:rPr>
        <w:t>.</w:t>
      </w:r>
    </w:p>
    <w:p w14:paraId="294DDE20" w14:textId="2DFB8A0E" w:rsidR="00BA3893" w:rsidRPr="0024760A" w:rsidRDefault="00402778" w:rsidP="00BA3893">
      <w:pPr>
        <w:jc w:val="both"/>
        <w:rPr>
          <w:lang w:val="en-US"/>
        </w:rPr>
      </w:pPr>
      <w:r w:rsidRPr="0024760A">
        <w:rPr>
          <w:b/>
          <w:bCs/>
          <w:lang w:val="en-US"/>
        </w:rPr>
        <w:t>&lt;3&gt;</w:t>
      </w:r>
      <w:r w:rsidR="008B4C1B">
        <w:rPr>
          <w:b/>
          <w:bCs/>
          <w:lang w:val="en-US"/>
        </w:rPr>
        <w:t>Data collection period</w:t>
      </w:r>
    </w:p>
    <w:p w14:paraId="44C574CF" w14:textId="2FA82356" w:rsidR="00EB56D5" w:rsidRPr="0024760A" w:rsidRDefault="00724362" w:rsidP="00BA3893">
      <w:pPr>
        <w:jc w:val="both"/>
        <w:rPr>
          <w:lang w:val="en-US"/>
        </w:rPr>
      </w:pPr>
      <w:r w:rsidRPr="00724362">
        <w:rPr>
          <w:lang w:val="en-US"/>
        </w:rPr>
        <w:t>Data was collected between February 1 and 14, 2022</w:t>
      </w:r>
      <w:r w:rsidR="00BA3893" w:rsidRPr="0024760A">
        <w:rPr>
          <w:lang w:val="en-US"/>
        </w:rPr>
        <w:t>.</w:t>
      </w:r>
    </w:p>
    <w:p w14:paraId="2DF723BF" w14:textId="77777777" w:rsidR="00F54082" w:rsidRPr="0024760A" w:rsidRDefault="00F54082" w:rsidP="00F54082">
      <w:pPr>
        <w:jc w:val="both"/>
        <w:rPr>
          <w:b/>
          <w:bCs/>
          <w:lang w:val="en-US"/>
        </w:rPr>
      </w:pPr>
    </w:p>
    <w:p w14:paraId="6D273358" w14:textId="360DBD18" w:rsidR="00F54082" w:rsidRPr="0024760A" w:rsidRDefault="007E7FE7" w:rsidP="00F54082">
      <w:pPr>
        <w:jc w:val="both"/>
        <w:rPr>
          <w:lang w:val="en-US"/>
        </w:rPr>
      </w:pPr>
      <w:r w:rsidRPr="0024760A">
        <w:rPr>
          <w:b/>
          <w:bCs/>
          <w:lang w:val="en-US"/>
        </w:rPr>
        <w:lastRenderedPageBreak/>
        <w:t>&lt;3&gt;</w:t>
      </w:r>
      <w:r w:rsidR="00724362">
        <w:rPr>
          <w:b/>
          <w:bCs/>
          <w:lang w:val="en-US"/>
        </w:rPr>
        <w:t>Collected sample</w:t>
      </w:r>
    </w:p>
    <w:p w14:paraId="21B2FC69" w14:textId="4D267077" w:rsidR="00530E12" w:rsidRPr="0024760A" w:rsidRDefault="00724362" w:rsidP="00134738">
      <w:pPr>
        <w:jc w:val="both"/>
        <w:rPr>
          <w:b/>
          <w:bCs/>
          <w:lang w:val="en-US"/>
        </w:rPr>
      </w:pPr>
      <w:r w:rsidRPr="00724362">
        <w:rPr>
          <w:lang w:val="en-US"/>
        </w:rPr>
        <w:t>A total of 2,515 respondents</w:t>
      </w:r>
      <w:r w:rsidR="00C60EE1">
        <w:rPr>
          <w:lang w:val="en-US"/>
        </w:rPr>
        <w:t>, 16 years old or older,</w:t>
      </w:r>
      <w:r w:rsidRPr="00724362">
        <w:rPr>
          <w:lang w:val="en-US"/>
        </w:rPr>
        <w:t xml:space="preserve"> answered the survey out of a total of approximately 16,000 respondents contacted</w:t>
      </w:r>
      <w:r w:rsidR="00FF09E1" w:rsidRPr="0024760A">
        <w:rPr>
          <w:lang w:val="en-US"/>
        </w:rPr>
        <w:t>.</w:t>
      </w:r>
    </w:p>
    <w:p w14:paraId="661EF925" w14:textId="2C90200E" w:rsidR="00EB56D5" w:rsidRPr="0024760A" w:rsidRDefault="001D4943" w:rsidP="00EB56D5">
      <w:pPr>
        <w:jc w:val="both"/>
        <w:rPr>
          <w:b/>
          <w:bCs/>
          <w:lang w:val="en-US"/>
        </w:rPr>
      </w:pPr>
      <w:r w:rsidRPr="0024760A">
        <w:rPr>
          <w:b/>
          <w:bCs/>
          <w:lang w:val="en-US"/>
        </w:rPr>
        <w:t>&lt;2&gt;</w:t>
      </w:r>
      <w:r w:rsidR="00724362" w:rsidRPr="00724362">
        <w:rPr>
          <w:b/>
          <w:bCs/>
          <w:lang w:val="en-US"/>
        </w:rPr>
        <w:t>Data processing</w:t>
      </w:r>
    </w:p>
    <w:p w14:paraId="0DEDF9BF" w14:textId="77777777" w:rsidR="00724362" w:rsidRDefault="001D4943" w:rsidP="00724362">
      <w:pPr>
        <w:jc w:val="both"/>
        <w:rPr>
          <w:b/>
          <w:bCs/>
          <w:lang w:val="en-US"/>
        </w:rPr>
      </w:pPr>
      <w:r w:rsidRPr="0024760A">
        <w:rPr>
          <w:b/>
          <w:bCs/>
          <w:lang w:val="en-US"/>
        </w:rPr>
        <w:t>&lt;3&gt;</w:t>
      </w:r>
      <w:r w:rsidR="00724362" w:rsidRPr="000B48CF">
        <w:rPr>
          <w:lang w:val="en-US"/>
        </w:rPr>
        <w:t xml:space="preserve"> </w:t>
      </w:r>
      <w:r w:rsidR="00724362" w:rsidRPr="00724362">
        <w:rPr>
          <w:b/>
          <w:bCs/>
          <w:lang w:val="en-US"/>
        </w:rPr>
        <w:t>Weighting procedures</w:t>
      </w:r>
    </w:p>
    <w:p w14:paraId="37565974" w14:textId="1B1C71AC" w:rsidR="00EB56D5" w:rsidRPr="0024760A" w:rsidRDefault="0027588A" w:rsidP="0027588A">
      <w:pPr>
        <w:jc w:val="both"/>
        <w:rPr>
          <w:lang w:val="en-US"/>
        </w:rPr>
      </w:pPr>
      <w:r w:rsidRPr="0027588A">
        <w:rPr>
          <w:lang w:val="en-US"/>
        </w:rPr>
        <w:t>For the ICT Panel - 6th Edition, the ICT Households 2022 survey was used as the primary reference, without the need for additional updates for new totals drawn from the Continuous National Household Sample</w:t>
      </w:r>
      <w:r>
        <w:rPr>
          <w:lang w:val="en-US"/>
        </w:rPr>
        <w:t xml:space="preserve"> </w:t>
      </w:r>
      <w:r w:rsidRPr="0027588A">
        <w:rPr>
          <w:lang w:val="en-US"/>
        </w:rPr>
        <w:t>Survey (Continuous PNAD</w:t>
      </w:r>
      <w:r w:rsidR="001D4943" w:rsidRPr="0024760A">
        <w:rPr>
          <w:lang w:val="en-US"/>
        </w:rPr>
        <w:t>).</w:t>
      </w:r>
    </w:p>
    <w:p w14:paraId="725E5619" w14:textId="3DB2296C" w:rsidR="00515038" w:rsidRPr="0024760A" w:rsidRDefault="001D4943" w:rsidP="004E4D3C">
      <w:pPr>
        <w:jc w:val="both"/>
        <w:rPr>
          <w:b/>
          <w:iCs/>
          <w:sz w:val="20"/>
          <w:szCs w:val="20"/>
          <w:lang w:val="en-US"/>
        </w:rPr>
      </w:pPr>
      <w:r w:rsidRPr="0024760A">
        <w:rPr>
          <w:b/>
          <w:bCs/>
          <w:sz w:val="20"/>
          <w:szCs w:val="20"/>
          <w:lang w:val="en-US"/>
        </w:rPr>
        <w:t>&lt;4&gt;</w:t>
      </w:r>
      <w:r w:rsidR="0027588A" w:rsidRPr="0027588A">
        <w:rPr>
          <w:b/>
          <w:bCs/>
          <w:sz w:val="20"/>
          <w:szCs w:val="20"/>
          <w:lang w:val="en-US"/>
        </w:rPr>
        <w:t>Stage 1 - Estimation of the number of Internet users represented in the ICT Panel - 6th Edition</w:t>
      </w:r>
    </w:p>
    <w:p w14:paraId="7F17AEEF" w14:textId="5C8CE7CF" w:rsidR="0093512F" w:rsidRPr="0024760A" w:rsidRDefault="0027588A" w:rsidP="0093512F">
      <w:pPr>
        <w:rPr>
          <w:i/>
          <w:iCs/>
          <w:lang w:val="en-US"/>
        </w:rPr>
      </w:pPr>
      <w:r w:rsidRPr="0027588A">
        <w:rPr>
          <w:i/>
          <w:iCs/>
          <w:lang w:val="en-US"/>
        </w:rPr>
        <w:t>Step I. Adjustment of the score model of propensity to be an Internet user for ICT Households 2022</w:t>
      </w:r>
    </w:p>
    <w:p w14:paraId="2F073A87" w14:textId="0E5ECA1F" w:rsidR="00EB56D5" w:rsidRPr="0024760A" w:rsidRDefault="001D4943" w:rsidP="00EB56D5">
      <w:pPr>
        <w:keepNext/>
        <w:spacing w:after="0" w:line="240" w:lineRule="auto"/>
        <w:jc w:val="both"/>
        <w:rPr>
          <w:b/>
          <w:lang w:val="en-US"/>
        </w:rPr>
      </w:pPr>
      <w:r w:rsidRPr="0024760A">
        <w:rPr>
          <w:b/>
          <w:lang w:val="en-US"/>
        </w:rPr>
        <w:t>Tab</w:t>
      </w:r>
      <w:r w:rsidR="0027588A">
        <w:rPr>
          <w:b/>
          <w:lang w:val="en-US"/>
        </w:rPr>
        <w:t>le</w:t>
      </w:r>
      <w:r w:rsidRPr="0024760A">
        <w:rPr>
          <w:b/>
          <w:lang w:val="en-US"/>
        </w:rPr>
        <w:t xml:space="preserve"> 1</w:t>
      </w:r>
    </w:p>
    <w:p w14:paraId="435D12BA" w14:textId="08000F98" w:rsidR="00EB56D5" w:rsidRPr="0024760A" w:rsidRDefault="00F06502" w:rsidP="00EB56D5">
      <w:pPr>
        <w:keepNext/>
        <w:spacing w:after="0" w:line="240" w:lineRule="auto"/>
        <w:jc w:val="both"/>
        <w:rPr>
          <w:b/>
          <w:lang w:val="en-US"/>
        </w:rPr>
      </w:pPr>
      <w:r w:rsidRPr="00F06502">
        <w:rPr>
          <w:b/>
          <w:lang w:val="en-US"/>
        </w:rPr>
        <w:t>Model adjustment statistics</w:t>
      </w:r>
    </w:p>
    <w:tbl>
      <w:tblPr>
        <w:tblW w:w="9639" w:type="dxa"/>
        <w:tblBorders>
          <w:top w:val="single" w:sz="4" w:space="0" w:color="auto"/>
          <w:bottom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91"/>
        <w:gridCol w:w="1706"/>
        <w:gridCol w:w="1842"/>
      </w:tblGrid>
      <w:tr w:rsidR="00EB56D5" w:rsidRPr="0024760A" w14:paraId="1A754779" w14:textId="77777777" w:rsidTr="00F06502">
        <w:trPr>
          <w:trHeight w:val="300"/>
        </w:trPr>
        <w:tc>
          <w:tcPr>
            <w:tcW w:w="6091" w:type="dxa"/>
            <w:vMerge w:val="restart"/>
            <w:shd w:val="clear" w:color="auto" w:fill="auto"/>
            <w:noWrap/>
            <w:vAlign w:val="center"/>
            <w:hideMark/>
          </w:tcPr>
          <w:p w14:paraId="64A4408F" w14:textId="199181D6" w:rsidR="00EB56D5" w:rsidRPr="0024760A" w:rsidRDefault="00F06502" w:rsidP="00F06502">
            <w:pPr>
              <w:spacing w:after="0" w:line="240" w:lineRule="auto"/>
              <w:rPr>
                <w:rFonts w:ascii="Calibri" w:eastAsia="Times New Roman" w:hAnsi="Calibri" w:cs="Times New Roman"/>
                <w:color w:val="000000"/>
                <w:lang w:val="en-US" w:eastAsia="pt-BR"/>
              </w:rPr>
            </w:pPr>
            <w:r w:rsidRPr="00F06502">
              <w:rPr>
                <w:rFonts w:ascii="Calibri" w:eastAsia="Times New Roman" w:hAnsi="Calibri" w:cs="Times New Roman"/>
                <w:color w:val="000000"/>
                <w:lang w:val="en-US" w:eastAsia="pt-BR"/>
              </w:rPr>
              <w:t>Independent variables in the model</w:t>
            </w:r>
          </w:p>
        </w:tc>
        <w:tc>
          <w:tcPr>
            <w:tcW w:w="3548" w:type="dxa"/>
            <w:gridSpan w:val="2"/>
            <w:shd w:val="clear" w:color="auto" w:fill="auto"/>
            <w:noWrap/>
            <w:hideMark/>
          </w:tcPr>
          <w:p w14:paraId="0C4DA9BC" w14:textId="0A86285B" w:rsidR="00EB56D5" w:rsidRPr="0024760A" w:rsidRDefault="00F06502" w:rsidP="00C7010F">
            <w:pPr>
              <w:spacing w:after="0" w:line="240" w:lineRule="auto"/>
              <w:jc w:val="center"/>
              <w:rPr>
                <w:rFonts w:ascii="Calibri" w:eastAsia="Times New Roman" w:hAnsi="Calibri" w:cs="Times New Roman"/>
                <w:color w:val="000000"/>
                <w:lang w:val="en-US" w:eastAsia="pt-BR"/>
              </w:rPr>
            </w:pPr>
            <w:r>
              <w:rPr>
                <w:rFonts w:ascii="Calibri" w:eastAsia="Times New Roman" w:hAnsi="Calibri" w:cs="Times New Roman"/>
                <w:color w:val="000000"/>
                <w:lang w:val="en-US" w:eastAsia="pt-BR"/>
              </w:rPr>
              <w:t>ICT Households</w:t>
            </w:r>
            <w:r w:rsidR="00EB56D5" w:rsidRPr="0024760A">
              <w:rPr>
                <w:rFonts w:ascii="Calibri" w:eastAsia="Times New Roman" w:hAnsi="Calibri" w:cs="Times New Roman"/>
                <w:color w:val="000000"/>
                <w:lang w:val="en-US" w:eastAsia="pt-BR"/>
              </w:rPr>
              <w:t xml:space="preserve"> 20</w:t>
            </w:r>
            <w:r w:rsidR="00D25704" w:rsidRPr="0024760A">
              <w:rPr>
                <w:rFonts w:ascii="Calibri" w:eastAsia="Times New Roman" w:hAnsi="Calibri" w:cs="Times New Roman"/>
                <w:color w:val="000000"/>
                <w:lang w:val="en-US" w:eastAsia="pt-BR"/>
              </w:rPr>
              <w:t>2</w:t>
            </w:r>
            <w:r w:rsidR="0093512F" w:rsidRPr="0024760A">
              <w:rPr>
                <w:rFonts w:ascii="Calibri" w:eastAsia="Times New Roman" w:hAnsi="Calibri" w:cs="Times New Roman"/>
                <w:color w:val="000000"/>
                <w:lang w:val="en-US" w:eastAsia="pt-BR"/>
              </w:rPr>
              <w:t>2</w:t>
            </w:r>
          </w:p>
        </w:tc>
      </w:tr>
      <w:tr w:rsidR="00EB56D5" w:rsidRPr="0024760A" w14:paraId="631B67A1" w14:textId="77777777" w:rsidTr="00F06502">
        <w:trPr>
          <w:trHeight w:val="345"/>
        </w:trPr>
        <w:tc>
          <w:tcPr>
            <w:tcW w:w="6091" w:type="dxa"/>
            <w:vMerge/>
            <w:vAlign w:val="center"/>
            <w:hideMark/>
          </w:tcPr>
          <w:p w14:paraId="2043ACF3" w14:textId="77777777" w:rsidR="00EB56D5" w:rsidRPr="0024760A" w:rsidRDefault="00EB56D5" w:rsidP="00F06502">
            <w:pPr>
              <w:spacing w:after="0" w:line="240" w:lineRule="auto"/>
              <w:rPr>
                <w:rFonts w:ascii="Calibri" w:eastAsia="Times New Roman" w:hAnsi="Calibri" w:cs="Times New Roman"/>
                <w:color w:val="000000"/>
                <w:lang w:val="en-US" w:eastAsia="pt-BR"/>
              </w:rPr>
            </w:pPr>
          </w:p>
        </w:tc>
        <w:tc>
          <w:tcPr>
            <w:tcW w:w="1706" w:type="dxa"/>
            <w:shd w:val="clear" w:color="auto" w:fill="auto"/>
            <w:noWrap/>
            <w:hideMark/>
          </w:tcPr>
          <w:p w14:paraId="5F4E9E66" w14:textId="77777777" w:rsidR="00EB56D5" w:rsidRPr="0024760A" w:rsidRDefault="00EB56D5" w:rsidP="00C7010F">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R</w:t>
            </w:r>
            <w:r w:rsidRPr="0024760A">
              <w:rPr>
                <w:rFonts w:ascii="Calibri" w:eastAsia="Times New Roman" w:hAnsi="Calibri" w:cs="Times New Roman"/>
                <w:color w:val="000000"/>
                <w:vertAlign w:val="superscript"/>
                <w:lang w:val="en-US" w:eastAsia="pt-BR"/>
              </w:rPr>
              <w:t>2</w:t>
            </w:r>
          </w:p>
        </w:tc>
        <w:tc>
          <w:tcPr>
            <w:tcW w:w="1842" w:type="dxa"/>
            <w:shd w:val="clear" w:color="auto" w:fill="auto"/>
            <w:noWrap/>
            <w:hideMark/>
          </w:tcPr>
          <w:p w14:paraId="661F8AC4" w14:textId="4626CAE4" w:rsidR="00EB56D5" w:rsidRPr="0024760A" w:rsidRDefault="00F06502" w:rsidP="00F06502">
            <w:pPr>
              <w:spacing w:after="0" w:line="240" w:lineRule="auto"/>
              <w:ind w:left="-75" w:right="-75"/>
              <w:jc w:val="center"/>
              <w:rPr>
                <w:rFonts w:ascii="Calibri" w:eastAsia="Times New Roman" w:hAnsi="Calibri" w:cs="Times New Roman"/>
                <w:color w:val="000000"/>
                <w:lang w:val="en-US" w:eastAsia="pt-BR"/>
              </w:rPr>
            </w:pPr>
            <w:r w:rsidRPr="00F06502">
              <w:rPr>
                <w:rFonts w:ascii="Calibri" w:eastAsia="Times New Roman" w:hAnsi="Calibri" w:cs="Times New Roman"/>
                <w:color w:val="000000"/>
                <w:lang w:val="en-US" w:eastAsia="pt-BR"/>
              </w:rPr>
              <w:t xml:space="preserve">Correct classification rate </w:t>
            </w:r>
            <w:r w:rsidR="00EB56D5" w:rsidRPr="0024760A">
              <w:rPr>
                <w:rFonts w:ascii="Calibri" w:eastAsia="Times New Roman" w:hAnsi="Calibri" w:cs="Times New Roman"/>
                <w:color w:val="000000"/>
                <w:vertAlign w:val="superscript"/>
                <w:lang w:val="en-US" w:eastAsia="pt-BR"/>
              </w:rPr>
              <w:t>(1)</w:t>
            </w:r>
          </w:p>
        </w:tc>
      </w:tr>
      <w:tr w:rsidR="00EB56D5" w:rsidRPr="0024760A" w14:paraId="53B865AB" w14:textId="77777777" w:rsidTr="00F06502">
        <w:trPr>
          <w:trHeight w:val="655"/>
        </w:trPr>
        <w:tc>
          <w:tcPr>
            <w:tcW w:w="6091" w:type="dxa"/>
            <w:shd w:val="clear" w:color="auto" w:fill="auto"/>
            <w:vAlign w:val="center"/>
            <w:hideMark/>
          </w:tcPr>
          <w:p w14:paraId="2D6370F1" w14:textId="5CDB8515" w:rsidR="00EB56D5" w:rsidRPr="0024760A" w:rsidRDefault="00F06502" w:rsidP="00F06502">
            <w:pPr>
              <w:spacing w:after="0" w:line="240" w:lineRule="auto"/>
              <w:rPr>
                <w:rFonts w:ascii="Calibri" w:eastAsia="Times New Roman" w:hAnsi="Calibri" w:cs="Times New Roman"/>
                <w:color w:val="000000"/>
                <w:lang w:val="en-US" w:eastAsia="pt-BR"/>
              </w:rPr>
            </w:pPr>
            <w:r w:rsidRPr="00F06502">
              <w:rPr>
                <w:rFonts w:ascii="Calibri" w:eastAsia="Times New Roman" w:hAnsi="Calibri" w:cs="Times New Roman"/>
                <w:color w:val="000000"/>
                <w:lang w:val="en-US" w:eastAsia="pt-BR"/>
              </w:rPr>
              <w:t>Sex, age, level of education, social class, computer user indicator</w:t>
            </w:r>
          </w:p>
        </w:tc>
        <w:tc>
          <w:tcPr>
            <w:tcW w:w="1706" w:type="dxa"/>
            <w:shd w:val="clear" w:color="auto" w:fill="auto"/>
            <w:noWrap/>
            <w:vAlign w:val="center"/>
            <w:hideMark/>
          </w:tcPr>
          <w:p w14:paraId="5AF0A524" w14:textId="6913157F" w:rsidR="00515038" w:rsidRPr="0024760A" w:rsidRDefault="00EB56D5" w:rsidP="00134738">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F06502">
              <w:rPr>
                <w:rFonts w:ascii="Calibri" w:eastAsia="Times New Roman" w:hAnsi="Calibri" w:cs="Times New Roman"/>
                <w:color w:val="000000"/>
                <w:lang w:val="en-US" w:eastAsia="pt-BR"/>
              </w:rPr>
              <w:t>.</w:t>
            </w:r>
            <w:r w:rsidR="00515038" w:rsidRPr="0024760A">
              <w:rPr>
                <w:rFonts w:ascii="Calibri" w:eastAsia="Times New Roman" w:hAnsi="Calibri" w:cs="Times New Roman"/>
                <w:color w:val="000000"/>
                <w:lang w:val="en-US" w:eastAsia="pt-BR"/>
              </w:rPr>
              <w:t>3</w:t>
            </w:r>
            <w:r w:rsidR="00FD0209" w:rsidRPr="0024760A">
              <w:rPr>
                <w:rFonts w:ascii="Calibri" w:eastAsia="Times New Roman" w:hAnsi="Calibri" w:cs="Times New Roman"/>
                <w:color w:val="000000"/>
                <w:lang w:val="en-US" w:eastAsia="pt-BR"/>
              </w:rPr>
              <w:t>4</w:t>
            </w:r>
          </w:p>
        </w:tc>
        <w:tc>
          <w:tcPr>
            <w:tcW w:w="1842" w:type="dxa"/>
            <w:shd w:val="clear" w:color="auto" w:fill="auto"/>
            <w:noWrap/>
            <w:vAlign w:val="center"/>
            <w:hideMark/>
          </w:tcPr>
          <w:p w14:paraId="5CFC3CE1" w14:textId="28D0EFF8" w:rsidR="00EB56D5" w:rsidRPr="0024760A" w:rsidRDefault="00FD0209" w:rsidP="00134738">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81</w:t>
            </w:r>
            <w:r w:rsidR="00515038" w:rsidRPr="0024760A">
              <w:rPr>
                <w:rFonts w:ascii="Calibri" w:eastAsia="Times New Roman" w:hAnsi="Calibri" w:cs="Times New Roman"/>
                <w:color w:val="000000"/>
                <w:lang w:val="en-US" w:eastAsia="pt-BR"/>
              </w:rPr>
              <w:t>%</w:t>
            </w:r>
          </w:p>
        </w:tc>
      </w:tr>
    </w:tbl>
    <w:p w14:paraId="77108563" w14:textId="1B0FDB04" w:rsidR="00EB56D5" w:rsidRPr="00F06502" w:rsidRDefault="00EB56D5" w:rsidP="00F06502">
      <w:pPr>
        <w:spacing w:after="0" w:line="240" w:lineRule="auto"/>
        <w:jc w:val="both"/>
        <w:rPr>
          <w:rFonts w:ascii="Calibri" w:eastAsia="Times New Roman" w:hAnsi="Calibri" w:cs="Times New Roman"/>
          <w:color w:val="000000"/>
          <w:sz w:val="18"/>
          <w:szCs w:val="18"/>
          <w:lang w:val="en-US" w:eastAsia="pt-BR"/>
        </w:rPr>
      </w:pPr>
      <w:r w:rsidRPr="0024760A">
        <w:rPr>
          <w:sz w:val="18"/>
          <w:szCs w:val="18"/>
          <w:lang w:val="en-US"/>
        </w:rPr>
        <w:t xml:space="preserve">(1) = </w:t>
      </w:r>
      <w:r w:rsidR="00F06502" w:rsidRPr="00F06502">
        <w:rPr>
          <w:rFonts w:ascii="Calibri" w:eastAsia="Times New Roman" w:hAnsi="Calibri" w:cs="Times New Roman"/>
          <w:color w:val="000000"/>
          <w:sz w:val="18"/>
          <w:szCs w:val="18"/>
          <w:lang w:val="en-US" w:eastAsia="pt-BR"/>
        </w:rPr>
        <w:t>Percentage of individuals correctly classified based on the adjusted model</w:t>
      </w:r>
      <w:r w:rsidRPr="0024760A">
        <w:rPr>
          <w:rFonts w:ascii="Calibri" w:eastAsia="Times New Roman" w:hAnsi="Calibri" w:cs="Times New Roman"/>
          <w:color w:val="000000"/>
          <w:sz w:val="18"/>
          <w:szCs w:val="18"/>
          <w:lang w:val="en-US" w:eastAsia="pt-BR"/>
        </w:rPr>
        <w:t>.</w:t>
      </w:r>
    </w:p>
    <w:p w14:paraId="1E4B150C" w14:textId="77777777" w:rsidR="00F06502" w:rsidRDefault="00F06502" w:rsidP="00EB56D5">
      <w:pPr>
        <w:rPr>
          <w:i/>
          <w:iCs/>
          <w:lang w:val="en-US"/>
        </w:rPr>
      </w:pPr>
    </w:p>
    <w:p w14:paraId="43A0AC6A" w14:textId="77777777" w:rsidR="00012C13" w:rsidRDefault="00012C13" w:rsidP="00EB56D5">
      <w:pPr>
        <w:jc w:val="both"/>
        <w:rPr>
          <w:i/>
          <w:iCs/>
          <w:lang w:val="en-US"/>
        </w:rPr>
      </w:pPr>
      <w:r w:rsidRPr="00012C13">
        <w:rPr>
          <w:i/>
          <w:iCs/>
          <w:lang w:val="en-US"/>
        </w:rPr>
        <w:t>Step II. Estimation of propensity scores for respondents to the ICT Panel - 6th Edition</w:t>
      </w:r>
    </w:p>
    <w:p w14:paraId="7D7F80FD" w14:textId="36A9E39F" w:rsidR="00EB56D5" w:rsidRPr="0024760A" w:rsidRDefault="00012C13" w:rsidP="00012C13">
      <w:pPr>
        <w:jc w:val="both"/>
        <w:rPr>
          <w:lang w:val="en-US"/>
        </w:rPr>
      </w:pPr>
      <w:r w:rsidRPr="00012C13">
        <w:rPr>
          <w:lang w:val="en-US"/>
        </w:rPr>
        <w:t>Based on the model adjusted with data from the ICT Households 2022 survey, the propensity scores were estimated for the set of respondents in the ICT Panel - 6th Edition. Next, the distributions of the propensity scores in the ICT Households 2022 sample were compared with the scores of the ICT Panel - 6th Edition sample for Internet users. The results are shown in Table 2. The distribution of scores for respondents to the ICT Panel - 6th Edition has a different profile from that observed for the population of Internet users 16 years old or older according to ICT Households 2022</w:t>
      </w:r>
      <w:r w:rsidR="00EB56D5" w:rsidRPr="0024760A">
        <w:rPr>
          <w:lang w:val="en-US"/>
        </w:rPr>
        <w:t>.</w:t>
      </w:r>
    </w:p>
    <w:p w14:paraId="21F60D5C" w14:textId="77777777" w:rsidR="00134738" w:rsidRPr="0024760A" w:rsidRDefault="00134738">
      <w:pPr>
        <w:rPr>
          <w:b/>
          <w:lang w:val="en-US"/>
        </w:rPr>
      </w:pPr>
      <w:r w:rsidRPr="0024760A">
        <w:rPr>
          <w:lang w:val="en-US"/>
        </w:rPr>
        <w:br w:type="page"/>
      </w:r>
    </w:p>
    <w:p w14:paraId="24386D14" w14:textId="75A59BC1" w:rsidR="0077018E" w:rsidRPr="0024760A" w:rsidRDefault="0077018E" w:rsidP="00134738">
      <w:pPr>
        <w:pStyle w:val="Legenda"/>
        <w:rPr>
          <w:lang w:val="en-US"/>
        </w:rPr>
      </w:pPr>
      <w:r w:rsidRPr="0024760A">
        <w:rPr>
          <w:lang w:val="en-US"/>
        </w:rPr>
        <w:lastRenderedPageBreak/>
        <w:t>Tab</w:t>
      </w:r>
      <w:r w:rsidR="004D4CE4">
        <w:rPr>
          <w:lang w:val="en-US"/>
        </w:rPr>
        <w:t>le</w:t>
      </w:r>
      <w:r w:rsidRPr="0024760A">
        <w:rPr>
          <w:lang w:val="en-US"/>
        </w:rPr>
        <w:t xml:space="preserve"> 2</w:t>
      </w:r>
      <w:r w:rsidR="00644174" w:rsidRPr="0024760A">
        <w:rPr>
          <w:lang w:val="en-US"/>
        </w:rPr>
        <w:t xml:space="preserve"> </w:t>
      </w:r>
    </w:p>
    <w:p w14:paraId="46DF2287" w14:textId="79CE8EE6" w:rsidR="00EB56D5" w:rsidRPr="0024760A" w:rsidRDefault="003E4217" w:rsidP="00134738">
      <w:pPr>
        <w:pStyle w:val="Legenda"/>
        <w:rPr>
          <w:lang w:val="en-US"/>
        </w:rPr>
      </w:pPr>
      <w:r w:rsidRPr="003E4217">
        <w:rPr>
          <w:lang w:val="en-US"/>
        </w:rPr>
        <w:t>Comparison of the distribution of Internet user propensity scores</w:t>
      </w:r>
    </w:p>
    <w:tbl>
      <w:tblPr>
        <w:tblW w:w="0" w:type="auto"/>
        <w:tblBorders>
          <w:top w:val="single" w:sz="4" w:space="0" w:color="auto"/>
          <w:bottom w:val="single" w:sz="4" w:space="0" w:color="auto"/>
          <w:insideH w:val="single" w:sz="4" w:space="0" w:color="auto"/>
          <w:insideV w:val="single" w:sz="4" w:space="0" w:color="auto"/>
        </w:tblBorders>
        <w:tblLayout w:type="fixed"/>
        <w:tblCellMar>
          <w:top w:w="28" w:type="dxa"/>
          <w:left w:w="70" w:type="dxa"/>
          <w:bottom w:w="28" w:type="dxa"/>
          <w:right w:w="70" w:type="dxa"/>
        </w:tblCellMar>
        <w:tblLook w:val="04A0" w:firstRow="1" w:lastRow="0" w:firstColumn="1" w:lastColumn="0" w:noHBand="0" w:noVBand="1"/>
      </w:tblPr>
      <w:tblGrid>
        <w:gridCol w:w="3969"/>
        <w:gridCol w:w="1039"/>
        <w:gridCol w:w="1040"/>
        <w:gridCol w:w="1039"/>
        <w:gridCol w:w="1040"/>
        <w:gridCol w:w="1039"/>
        <w:gridCol w:w="1040"/>
      </w:tblGrid>
      <w:tr w:rsidR="00AF4A51" w:rsidRPr="0024760A" w14:paraId="68F05631" w14:textId="77777777" w:rsidTr="00017754">
        <w:trPr>
          <w:trHeight w:val="300"/>
        </w:trPr>
        <w:tc>
          <w:tcPr>
            <w:tcW w:w="3969" w:type="dxa"/>
            <w:tcBorders>
              <w:bottom w:val="single" w:sz="4" w:space="0" w:color="auto"/>
            </w:tcBorders>
            <w:shd w:val="clear" w:color="auto" w:fill="auto"/>
            <w:noWrap/>
            <w:vAlign w:val="center"/>
            <w:hideMark/>
          </w:tcPr>
          <w:p w14:paraId="5B00D4B2" w14:textId="408F21E2" w:rsidR="00AF4A51" w:rsidRPr="0024760A" w:rsidRDefault="003E4217" w:rsidP="00FA1EB2">
            <w:pPr>
              <w:spacing w:after="0" w:line="240" w:lineRule="auto"/>
              <w:rPr>
                <w:rFonts w:ascii="Calibri" w:eastAsia="Times New Roman" w:hAnsi="Calibri" w:cs="Times New Roman"/>
                <w:color w:val="000000"/>
                <w:lang w:val="en-US" w:eastAsia="pt-BR"/>
              </w:rPr>
            </w:pPr>
            <w:r>
              <w:rPr>
                <w:rFonts w:ascii="Calibri" w:eastAsia="Times New Roman" w:hAnsi="Calibri" w:cs="Times New Roman"/>
                <w:color w:val="000000"/>
                <w:lang w:val="en-US" w:eastAsia="pt-BR"/>
              </w:rPr>
              <w:t>Survey</w:t>
            </w:r>
          </w:p>
        </w:tc>
        <w:tc>
          <w:tcPr>
            <w:tcW w:w="1039" w:type="dxa"/>
            <w:tcBorders>
              <w:bottom w:val="single" w:sz="4" w:space="0" w:color="auto"/>
            </w:tcBorders>
            <w:shd w:val="clear" w:color="auto" w:fill="auto"/>
            <w:noWrap/>
            <w:vAlign w:val="center"/>
            <w:hideMark/>
          </w:tcPr>
          <w:p w14:paraId="49EC864F" w14:textId="5EAF90E1" w:rsidR="00AF4A51" w:rsidRPr="0024760A" w:rsidRDefault="00AF4A51" w:rsidP="00FA1EB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M</w:t>
            </w:r>
            <w:r w:rsidR="00017754">
              <w:rPr>
                <w:rFonts w:ascii="Calibri" w:eastAsia="Times New Roman" w:hAnsi="Calibri" w:cs="Times New Roman"/>
                <w:color w:val="000000"/>
                <w:lang w:val="en-US" w:eastAsia="pt-BR"/>
              </w:rPr>
              <w:t>inimum</w:t>
            </w:r>
          </w:p>
        </w:tc>
        <w:tc>
          <w:tcPr>
            <w:tcW w:w="1040" w:type="dxa"/>
            <w:tcBorders>
              <w:bottom w:val="single" w:sz="4" w:space="0" w:color="auto"/>
            </w:tcBorders>
            <w:shd w:val="clear" w:color="auto" w:fill="auto"/>
            <w:noWrap/>
            <w:vAlign w:val="center"/>
            <w:hideMark/>
          </w:tcPr>
          <w:p w14:paraId="11E94FC8" w14:textId="77777777" w:rsidR="00AF4A51" w:rsidRPr="0024760A" w:rsidRDefault="00AF4A51" w:rsidP="00FA1EB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Q1</w:t>
            </w:r>
          </w:p>
        </w:tc>
        <w:tc>
          <w:tcPr>
            <w:tcW w:w="1039" w:type="dxa"/>
            <w:tcBorders>
              <w:bottom w:val="single" w:sz="4" w:space="0" w:color="auto"/>
            </w:tcBorders>
            <w:shd w:val="clear" w:color="auto" w:fill="auto"/>
            <w:noWrap/>
            <w:vAlign w:val="center"/>
            <w:hideMark/>
          </w:tcPr>
          <w:p w14:paraId="3EA65F48" w14:textId="1055F882" w:rsidR="00AF4A51" w:rsidRPr="0024760A" w:rsidRDefault="00AF4A51" w:rsidP="00FA1EB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Median</w:t>
            </w:r>
          </w:p>
        </w:tc>
        <w:tc>
          <w:tcPr>
            <w:tcW w:w="1040" w:type="dxa"/>
            <w:tcBorders>
              <w:bottom w:val="single" w:sz="4" w:space="0" w:color="auto"/>
            </w:tcBorders>
            <w:shd w:val="clear" w:color="auto" w:fill="auto"/>
            <w:noWrap/>
            <w:vAlign w:val="center"/>
            <w:hideMark/>
          </w:tcPr>
          <w:p w14:paraId="0FA22CC5" w14:textId="4CF57370" w:rsidR="00AF4A51" w:rsidRPr="0024760A" w:rsidRDefault="00AF4A51" w:rsidP="00FA1EB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M</w:t>
            </w:r>
            <w:r w:rsidR="00017754">
              <w:rPr>
                <w:rFonts w:ascii="Calibri" w:eastAsia="Times New Roman" w:hAnsi="Calibri" w:cs="Times New Roman"/>
                <w:color w:val="000000"/>
                <w:lang w:val="en-US" w:eastAsia="pt-BR"/>
              </w:rPr>
              <w:t>ean</w:t>
            </w:r>
          </w:p>
        </w:tc>
        <w:tc>
          <w:tcPr>
            <w:tcW w:w="1039" w:type="dxa"/>
            <w:tcBorders>
              <w:bottom w:val="single" w:sz="4" w:space="0" w:color="auto"/>
            </w:tcBorders>
            <w:shd w:val="clear" w:color="auto" w:fill="auto"/>
            <w:noWrap/>
            <w:vAlign w:val="center"/>
            <w:hideMark/>
          </w:tcPr>
          <w:p w14:paraId="5B9C2C59" w14:textId="77777777" w:rsidR="00AF4A51" w:rsidRPr="0024760A" w:rsidRDefault="00AF4A51" w:rsidP="00FA1EB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Q3</w:t>
            </w:r>
          </w:p>
        </w:tc>
        <w:tc>
          <w:tcPr>
            <w:tcW w:w="1040" w:type="dxa"/>
            <w:tcBorders>
              <w:bottom w:val="single" w:sz="4" w:space="0" w:color="auto"/>
            </w:tcBorders>
            <w:shd w:val="clear" w:color="auto" w:fill="auto"/>
            <w:noWrap/>
            <w:vAlign w:val="center"/>
            <w:hideMark/>
          </w:tcPr>
          <w:p w14:paraId="115E47AC" w14:textId="61B2B33C" w:rsidR="00AF4A51" w:rsidRPr="0024760A" w:rsidRDefault="00017754" w:rsidP="00017754">
            <w:pPr>
              <w:spacing w:after="0" w:line="240" w:lineRule="auto"/>
              <w:ind w:left="-26"/>
              <w:jc w:val="center"/>
              <w:rPr>
                <w:rFonts w:ascii="Calibri" w:eastAsia="Times New Roman" w:hAnsi="Calibri" w:cs="Times New Roman"/>
                <w:color w:val="000000"/>
                <w:lang w:val="en-US" w:eastAsia="pt-BR"/>
              </w:rPr>
            </w:pPr>
            <w:r>
              <w:rPr>
                <w:rFonts w:ascii="Calibri" w:eastAsia="Times New Roman" w:hAnsi="Calibri" w:cs="Times New Roman"/>
                <w:color w:val="000000"/>
                <w:lang w:val="en-US" w:eastAsia="pt-BR"/>
              </w:rPr>
              <w:t>Maximum</w:t>
            </w:r>
          </w:p>
        </w:tc>
      </w:tr>
      <w:tr w:rsidR="00AF4A51" w:rsidRPr="0024760A" w14:paraId="5EE027A6" w14:textId="77777777" w:rsidTr="00017754">
        <w:trPr>
          <w:trHeight w:val="300"/>
        </w:trPr>
        <w:tc>
          <w:tcPr>
            <w:tcW w:w="3969" w:type="dxa"/>
            <w:tcBorders>
              <w:bottom w:val="nil"/>
            </w:tcBorders>
            <w:shd w:val="clear" w:color="auto" w:fill="auto"/>
            <w:noWrap/>
            <w:vAlign w:val="center"/>
            <w:hideMark/>
          </w:tcPr>
          <w:p w14:paraId="6727854B" w14:textId="2EDE93F5" w:rsidR="00AF4A51" w:rsidRPr="0024760A" w:rsidRDefault="00017754" w:rsidP="00FA1EB2">
            <w:pPr>
              <w:spacing w:after="0" w:line="240" w:lineRule="auto"/>
              <w:rPr>
                <w:rFonts w:ascii="Calibri" w:eastAsia="Times New Roman" w:hAnsi="Calibri" w:cs="Times New Roman"/>
                <w:color w:val="000000"/>
                <w:lang w:val="en-US" w:eastAsia="pt-BR"/>
              </w:rPr>
            </w:pPr>
            <w:r>
              <w:rPr>
                <w:rFonts w:ascii="Calibri" w:eastAsia="Times New Roman" w:hAnsi="Calibri" w:cs="Times New Roman"/>
                <w:color w:val="000000"/>
                <w:lang w:val="en-US" w:eastAsia="pt-BR"/>
              </w:rPr>
              <w:t>ICT Households</w:t>
            </w:r>
            <w:r w:rsidR="00AF4A51" w:rsidRPr="0024760A">
              <w:rPr>
                <w:rFonts w:ascii="Calibri" w:eastAsia="Times New Roman" w:hAnsi="Calibri" w:cs="Times New Roman"/>
                <w:color w:val="000000"/>
                <w:lang w:val="en-US" w:eastAsia="pt-BR"/>
              </w:rPr>
              <w:t xml:space="preserve"> 2022</w:t>
            </w:r>
          </w:p>
        </w:tc>
        <w:tc>
          <w:tcPr>
            <w:tcW w:w="1039" w:type="dxa"/>
            <w:tcBorders>
              <w:bottom w:val="nil"/>
            </w:tcBorders>
            <w:shd w:val="clear" w:color="auto" w:fill="auto"/>
            <w:noWrap/>
            <w:vAlign w:val="center"/>
          </w:tcPr>
          <w:p w14:paraId="723172DF" w14:textId="25BE860D" w:rsidR="00AF4A51" w:rsidRPr="0024760A" w:rsidRDefault="004E72AC" w:rsidP="00FA1EB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0186</w:t>
            </w:r>
          </w:p>
        </w:tc>
        <w:tc>
          <w:tcPr>
            <w:tcW w:w="1040" w:type="dxa"/>
            <w:tcBorders>
              <w:bottom w:val="nil"/>
            </w:tcBorders>
            <w:shd w:val="clear" w:color="auto" w:fill="auto"/>
            <w:noWrap/>
            <w:vAlign w:val="center"/>
          </w:tcPr>
          <w:p w14:paraId="6E10D30A" w14:textId="675297DA" w:rsidR="00AF4A51" w:rsidRPr="0024760A" w:rsidRDefault="00EB42BE" w:rsidP="00FA1EB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6582</w:t>
            </w:r>
          </w:p>
        </w:tc>
        <w:tc>
          <w:tcPr>
            <w:tcW w:w="1039" w:type="dxa"/>
            <w:tcBorders>
              <w:bottom w:val="nil"/>
            </w:tcBorders>
            <w:shd w:val="clear" w:color="auto" w:fill="auto"/>
            <w:noWrap/>
            <w:vAlign w:val="center"/>
          </w:tcPr>
          <w:p w14:paraId="167D148E" w14:textId="03B9709F" w:rsidR="00AF4A51" w:rsidRPr="0024760A" w:rsidRDefault="00EB42BE" w:rsidP="00FA1EB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9026</w:t>
            </w:r>
          </w:p>
        </w:tc>
        <w:tc>
          <w:tcPr>
            <w:tcW w:w="1040" w:type="dxa"/>
            <w:tcBorders>
              <w:bottom w:val="nil"/>
            </w:tcBorders>
            <w:shd w:val="clear" w:color="auto" w:fill="auto"/>
            <w:noWrap/>
            <w:vAlign w:val="center"/>
          </w:tcPr>
          <w:p w14:paraId="578A510B" w14:textId="450A6F39" w:rsidR="00AF4A51" w:rsidRPr="0024760A" w:rsidRDefault="00EB42BE" w:rsidP="00FA1EB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7933</w:t>
            </w:r>
          </w:p>
        </w:tc>
        <w:tc>
          <w:tcPr>
            <w:tcW w:w="1039" w:type="dxa"/>
            <w:tcBorders>
              <w:bottom w:val="nil"/>
            </w:tcBorders>
            <w:shd w:val="clear" w:color="auto" w:fill="auto"/>
            <w:noWrap/>
            <w:vAlign w:val="center"/>
          </w:tcPr>
          <w:p w14:paraId="7053FB72" w14:textId="5A3C3803" w:rsidR="00AF4A51" w:rsidRPr="0024760A" w:rsidRDefault="00EB42BE" w:rsidP="00FA1EB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9864</w:t>
            </w:r>
          </w:p>
        </w:tc>
        <w:tc>
          <w:tcPr>
            <w:tcW w:w="1040" w:type="dxa"/>
            <w:tcBorders>
              <w:bottom w:val="nil"/>
            </w:tcBorders>
            <w:shd w:val="clear" w:color="auto" w:fill="auto"/>
            <w:noWrap/>
            <w:vAlign w:val="center"/>
          </w:tcPr>
          <w:p w14:paraId="60E22632" w14:textId="7F7CC9AA" w:rsidR="00AF4A51" w:rsidRPr="0024760A" w:rsidRDefault="00EB42BE" w:rsidP="00FA1EB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9976</w:t>
            </w:r>
          </w:p>
        </w:tc>
      </w:tr>
      <w:tr w:rsidR="00AF4A51" w:rsidRPr="0024760A" w14:paraId="0B83A2EB" w14:textId="77777777" w:rsidTr="00017754">
        <w:trPr>
          <w:trHeight w:val="300"/>
        </w:trPr>
        <w:tc>
          <w:tcPr>
            <w:tcW w:w="3969" w:type="dxa"/>
            <w:tcBorders>
              <w:top w:val="nil"/>
            </w:tcBorders>
            <w:shd w:val="clear" w:color="auto" w:fill="auto"/>
            <w:noWrap/>
            <w:vAlign w:val="center"/>
            <w:hideMark/>
          </w:tcPr>
          <w:p w14:paraId="47F58D8A" w14:textId="00E48240" w:rsidR="00AF4A51" w:rsidRPr="0024760A" w:rsidRDefault="00017754" w:rsidP="00FA1EB2">
            <w:pPr>
              <w:spacing w:after="0" w:line="240" w:lineRule="auto"/>
              <w:rPr>
                <w:rFonts w:ascii="Calibri" w:eastAsia="Times New Roman" w:hAnsi="Calibri" w:cs="Times New Roman"/>
                <w:color w:val="000000"/>
                <w:lang w:val="en-US" w:eastAsia="pt-BR"/>
              </w:rPr>
            </w:pPr>
            <w:r>
              <w:rPr>
                <w:rFonts w:ascii="Calibri" w:eastAsia="Times New Roman" w:hAnsi="Calibri" w:cs="Times New Roman"/>
                <w:color w:val="000000"/>
                <w:lang w:val="en-US" w:eastAsia="pt-BR"/>
              </w:rPr>
              <w:t>ICT Panel</w:t>
            </w:r>
            <w:r w:rsidR="00750D22" w:rsidRPr="0024760A">
              <w:rPr>
                <w:rFonts w:ascii="Calibri" w:eastAsia="Times New Roman" w:hAnsi="Calibri" w:cs="Times New Roman"/>
                <w:color w:val="000000"/>
                <w:lang w:val="en-US" w:eastAsia="pt-BR"/>
              </w:rPr>
              <w:t xml:space="preserve"> – 6</w:t>
            </w:r>
            <w:r>
              <w:rPr>
                <w:rFonts w:ascii="Calibri" w:eastAsia="Times New Roman" w:hAnsi="Calibri" w:cs="Times New Roman"/>
                <w:color w:val="000000"/>
                <w:lang w:val="en-US" w:eastAsia="pt-BR"/>
              </w:rPr>
              <w:t>th</w:t>
            </w:r>
            <w:r w:rsidR="00750D22" w:rsidRPr="0024760A">
              <w:rPr>
                <w:rFonts w:ascii="Calibri" w:eastAsia="Times New Roman" w:hAnsi="Calibri" w:cs="Times New Roman"/>
                <w:color w:val="000000"/>
                <w:lang w:val="en-US" w:eastAsia="pt-BR"/>
              </w:rPr>
              <w:t xml:space="preserve"> Edi</w:t>
            </w:r>
            <w:r>
              <w:rPr>
                <w:rFonts w:ascii="Calibri" w:eastAsia="Times New Roman" w:hAnsi="Calibri" w:cs="Times New Roman"/>
                <w:color w:val="000000"/>
                <w:lang w:val="en-US" w:eastAsia="pt-BR"/>
              </w:rPr>
              <w:t>tion</w:t>
            </w:r>
          </w:p>
        </w:tc>
        <w:tc>
          <w:tcPr>
            <w:tcW w:w="1039" w:type="dxa"/>
            <w:tcBorders>
              <w:top w:val="nil"/>
            </w:tcBorders>
            <w:shd w:val="clear" w:color="auto" w:fill="auto"/>
            <w:noWrap/>
            <w:vAlign w:val="center"/>
          </w:tcPr>
          <w:p w14:paraId="3243C40C" w14:textId="5C4D0E76" w:rsidR="00AF4A51" w:rsidRPr="0024760A" w:rsidRDefault="00324BC5" w:rsidP="00FA1EB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2976</w:t>
            </w:r>
          </w:p>
        </w:tc>
        <w:tc>
          <w:tcPr>
            <w:tcW w:w="1040" w:type="dxa"/>
            <w:tcBorders>
              <w:top w:val="nil"/>
            </w:tcBorders>
            <w:shd w:val="clear" w:color="auto" w:fill="auto"/>
            <w:noWrap/>
            <w:vAlign w:val="center"/>
          </w:tcPr>
          <w:p w14:paraId="6CC4BCD3" w14:textId="4C92C86C" w:rsidR="00AF4A51" w:rsidRPr="0024760A" w:rsidRDefault="00324BC5" w:rsidP="00FA1EB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9812</w:t>
            </w:r>
          </w:p>
        </w:tc>
        <w:tc>
          <w:tcPr>
            <w:tcW w:w="1039" w:type="dxa"/>
            <w:tcBorders>
              <w:top w:val="nil"/>
            </w:tcBorders>
            <w:shd w:val="clear" w:color="auto" w:fill="auto"/>
            <w:noWrap/>
            <w:vAlign w:val="center"/>
          </w:tcPr>
          <w:p w14:paraId="528CDAE5" w14:textId="7BE114A7" w:rsidR="00AF4A51" w:rsidRPr="0024760A" w:rsidRDefault="00324BC5" w:rsidP="00FA1EB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9928</w:t>
            </w:r>
          </w:p>
        </w:tc>
        <w:tc>
          <w:tcPr>
            <w:tcW w:w="1040" w:type="dxa"/>
            <w:tcBorders>
              <w:top w:val="nil"/>
            </w:tcBorders>
            <w:shd w:val="clear" w:color="auto" w:fill="auto"/>
            <w:noWrap/>
            <w:vAlign w:val="center"/>
          </w:tcPr>
          <w:p w14:paraId="00B660EE" w14:textId="78481FCA" w:rsidR="00AF4A51" w:rsidRPr="0024760A" w:rsidRDefault="00324BC5" w:rsidP="00FA1EB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9615</w:t>
            </w:r>
          </w:p>
        </w:tc>
        <w:tc>
          <w:tcPr>
            <w:tcW w:w="1039" w:type="dxa"/>
            <w:tcBorders>
              <w:top w:val="nil"/>
            </w:tcBorders>
            <w:shd w:val="clear" w:color="auto" w:fill="auto"/>
            <w:noWrap/>
            <w:vAlign w:val="center"/>
          </w:tcPr>
          <w:p w14:paraId="6FB146DA" w14:textId="36C7D260" w:rsidR="00AF4A51" w:rsidRPr="0024760A" w:rsidRDefault="00324BC5" w:rsidP="00FA1EB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9962</w:t>
            </w:r>
          </w:p>
        </w:tc>
        <w:tc>
          <w:tcPr>
            <w:tcW w:w="1040" w:type="dxa"/>
            <w:tcBorders>
              <w:top w:val="nil"/>
            </w:tcBorders>
            <w:shd w:val="clear" w:color="auto" w:fill="auto"/>
            <w:noWrap/>
            <w:vAlign w:val="center"/>
          </w:tcPr>
          <w:p w14:paraId="7EF80278" w14:textId="3464B45B" w:rsidR="00AF4A51" w:rsidRPr="0024760A" w:rsidRDefault="00324BC5" w:rsidP="00FA1EB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9994</w:t>
            </w:r>
          </w:p>
        </w:tc>
      </w:tr>
    </w:tbl>
    <w:p w14:paraId="5040B90D" w14:textId="77777777" w:rsidR="002515FD" w:rsidRPr="0024760A" w:rsidRDefault="002515FD">
      <w:pPr>
        <w:rPr>
          <w:i/>
          <w:iCs/>
          <w:lang w:val="en-US"/>
        </w:rPr>
      </w:pPr>
    </w:p>
    <w:p w14:paraId="42CF8FEA" w14:textId="3AC4A745" w:rsidR="00EB56D5" w:rsidRPr="0024760A" w:rsidRDefault="00005C5F" w:rsidP="00EB56D5">
      <w:pPr>
        <w:jc w:val="both"/>
        <w:rPr>
          <w:i/>
          <w:iCs/>
          <w:lang w:val="en-US"/>
        </w:rPr>
      </w:pPr>
      <w:r w:rsidRPr="00005C5F">
        <w:rPr>
          <w:i/>
          <w:iCs/>
          <w:lang w:val="en-US"/>
        </w:rPr>
        <w:t>Step III. Determination of the common support population for the ICT Households 2022 survey and the ICT Panel - 6th Edition</w:t>
      </w:r>
    </w:p>
    <w:p w14:paraId="1085C7FB" w14:textId="4B7214C4" w:rsidR="00175675" w:rsidRPr="0024760A" w:rsidRDefault="00411483" w:rsidP="00175675">
      <w:pPr>
        <w:jc w:val="both"/>
        <w:rPr>
          <w:lang w:val="en-US"/>
        </w:rPr>
      </w:pPr>
      <w:r w:rsidRPr="00411483">
        <w:rPr>
          <w:lang w:val="en-US"/>
        </w:rPr>
        <w:t>Given that the distributions of the scores obtained in the two surveys are different, cut-outs were tested on the survey's target population in order to establish the set of Internet users 16 years old and older that were represented by the respondents of the ICT Panel - 6th Edition. The results are shown in Table 3</w:t>
      </w:r>
      <w:r w:rsidR="00807BCA" w:rsidRPr="0024760A">
        <w:rPr>
          <w:lang w:val="en-US"/>
        </w:rPr>
        <w:t>.</w:t>
      </w:r>
    </w:p>
    <w:p w14:paraId="0F985E8B" w14:textId="5A6A027D" w:rsidR="00EB770F" w:rsidRPr="0024760A" w:rsidRDefault="00EB770F" w:rsidP="00134738">
      <w:pPr>
        <w:pStyle w:val="Legenda"/>
        <w:rPr>
          <w:lang w:val="en-US"/>
        </w:rPr>
      </w:pPr>
      <w:r w:rsidRPr="0024760A">
        <w:rPr>
          <w:lang w:val="en-US"/>
        </w:rPr>
        <w:t>T</w:t>
      </w:r>
      <w:r w:rsidR="00807BCA" w:rsidRPr="0024760A">
        <w:rPr>
          <w:lang w:val="en-US"/>
        </w:rPr>
        <w:t>ab</w:t>
      </w:r>
      <w:r w:rsidR="00411483">
        <w:rPr>
          <w:lang w:val="en-US"/>
        </w:rPr>
        <w:t>le</w:t>
      </w:r>
      <w:r w:rsidRPr="0024760A">
        <w:rPr>
          <w:lang w:val="en-US"/>
        </w:rPr>
        <w:t xml:space="preserve"> </w:t>
      </w:r>
      <w:r w:rsidR="00807BCA" w:rsidRPr="0024760A">
        <w:rPr>
          <w:lang w:val="en-US"/>
        </w:rPr>
        <w:t>3</w:t>
      </w:r>
    </w:p>
    <w:p w14:paraId="636FBB9B" w14:textId="634B2ECF" w:rsidR="00EB770F" w:rsidRPr="0024760A" w:rsidRDefault="00411483" w:rsidP="00134738">
      <w:pPr>
        <w:pStyle w:val="Legenda"/>
        <w:rPr>
          <w:lang w:val="en-US"/>
        </w:rPr>
      </w:pPr>
      <w:r w:rsidRPr="00411483">
        <w:rPr>
          <w:lang w:val="en-US"/>
        </w:rPr>
        <w:t>Comparison of the distribution of weights of the respondents to the ICT Panel - 6th Edition, according to alternatives for cutting out the propensity scores</w:t>
      </w:r>
    </w:p>
    <w:tbl>
      <w:tblPr>
        <w:tblW w:w="5000" w:type="pct"/>
        <w:tblBorders>
          <w:top w:val="single" w:sz="4" w:space="0" w:color="auto"/>
          <w:bottom w:val="single" w:sz="4" w:space="0" w:color="auto"/>
          <w:insideH w:val="single" w:sz="4" w:space="0" w:color="auto"/>
          <w:insideV w:val="single" w:sz="4" w:space="0" w:color="auto"/>
        </w:tblBorders>
        <w:tblLayout w:type="fixed"/>
        <w:tblCellMar>
          <w:top w:w="28" w:type="dxa"/>
          <w:left w:w="70" w:type="dxa"/>
          <w:bottom w:w="28" w:type="dxa"/>
          <w:right w:w="70" w:type="dxa"/>
        </w:tblCellMar>
        <w:tblLook w:val="04A0" w:firstRow="1" w:lastRow="0" w:firstColumn="1" w:lastColumn="0" w:noHBand="0" w:noVBand="1"/>
      </w:tblPr>
      <w:tblGrid>
        <w:gridCol w:w="4253"/>
        <w:gridCol w:w="992"/>
        <w:gridCol w:w="992"/>
        <w:gridCol w:w="992"/>
        <w:gridCol w:w="992"/>
        <w:gridCol w:w="992"/>
        <w:gridCol w:w="993"/>
      </w:tblGrid>
      <w:tr w:rsidR="00017754" w:rsidRPr="0024760A" w14:paraId="373BA42B" w14:textId="77777777" w:rsidTr="00017754">
        <w:trPr>
          <w:trHeight w:val="300"/>
        </w:trPr>
        <w:tc>
          <w:tcPr>
            <w:tcW w:w="4253" w:type="dxa"/>
            <w:tcBorders>
              <w:bottom w:val="single" w:sz="4" w:space="0" w:color="auto"/>
            </w:tcBorders>
            <w:shd w:val="clear" w:color="auto" w:fill="auto"/>
            <w:noWrap/>
            <w:vAlign w:val="center"/>
            <w:hideMark/>
          </w:tcPr>
          <w:p w14:paraId="507D2397" w14:textId="5D88FDAD" w:rsidR="00017754" w:rsidRPr="0024760A" w:rsidRDefault="00411483" w:rsidP="00056BE5">
            <w:pPr>
              <w:spacing w:after="0" w:line="240" w:lineRule="auto"/>
              <w:ind w:left="-72"/>
              <w:rPr>
                <w:rFonts w:ascii="Calibri" w:eastAsia="Times New Roman" w:hAnsi="Calibri" w:cs="Times New Roman"/>
                <w:color w:val="000000"/>
                <w:lang w:val="en-US" w:eastAsia="pt-BR"/>
              </w:rPr>
            </w:pPr>
            <w:r w:rsidRPr="00411483">
              <w:rPr>
                <w:rFonts w:ascii="Calibri" w:eastAsia="Times New Roman" w:hAnsi="Calibri" w:cs="Times New Roman"/>
                <w:color w:val="000000"/>
                <w:lang w:val="en-US" w:eastAsia="pt-BR"/>
              </w:rPr>
              <w:t>Calibrated weight statistics</w:t>
            </w:r>
          </w:p>
        </w:tc>
        <w:tc>
          <w:tcPr>
            <w:tcW w:w="992" w:type="dxa"/>
            <w:tcBorders>
              <w:bottom w:val="single" w:sz="4" w:space="0" w:color="auto"/>
            </w:tcBorders>
            <w:shd w:val="clear" w:color="auto" w:fill="auto"/>
            <w:noWrap/>
            <w:vAlign w:val="center"/>
            <w:hideMark/>
          </w:tcPr>
          <w:p w14:paraId="6BCB427A" w14:textId="33C70F11" w:rsidR="00017754" w:rsidRPr="0024760A" w:rsidRDefault="00017754" w:rsidP="00017754">
            <w:pPr>
              <w:spacing w:after="0" w:line="240" w:lineRule="auto"/>
              <w:ind w:left="-67" w:right="-73"/>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M</w:t>
            </w:r>
            <w:r>
              <w:rPr>
                <w:rFonts w:ascii="Calibri" w:eastAsia="Times New Roman" w:hAnsi="Calibri" w:cs="Times New Roman"/>
                <w:color w:val="000000"/>
                <w:lang w:val="en-US" w:eastAsia="pt-BR"/>
              </w:rPr>
              <w:t>inimum</w:t>
            </w:r>
          </w:p>
        </w:tc>
        <w:tc>
          <w:tcPr>
            <w:tcW w:w="992" w:type="dxa"/>
            <w:tcBorders>
              <w:bottom w:val="single" w:sz="4" w:space="0" w:color="auto"/>
            </w:tcBorders>
            <w:shd w:val="clear" w:color="auto" w:fill="auto"/>
            <w:noWrap/>
            <w:vAlign w:val="center"/>
            <w:hideMark/>
          </w:tcPr>
          <w:p w14:paraId="6FC22E5D" w14:textId="04D43AE6" w:rsidR="00017754" w:rsidRPr="0024760A" w:rsidRDefault="00017754" w:rsidP="00017754">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Q1</w:t>
            </w:r>
          </w:p>
        </w:tc>
        <w:tc>
          <w:tcPr>
            <w:tcW w:w="992" w:type="dxa"/>
            <w:tcBorders>
              <w:bottom w:val="single" w:sz="4" w:space="0" w:color="auto"/>
            </w:tcBorders>
            <w:shd w:val="clear" w:color="auto" w:fill="auto"/>
            <w:noWrap/>
            <w:vAlign w:val="center"/>
            <w:hideMark/>
          </w:tcPr>
          <w:p w14:paraId="0779A34B" w14:textId="3C539E94" w:rsidR="00017754" w:rsidRPr="0024760A" w:rsidRDefault="00017754" w:rsidP="00017754">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Median</w:t>
            </w:r>
          </w:p>
        </w:tc>
        <w:tc>
          <w:tcPr>
            <w:tcW w:w="992" w:type="dxa"/>
            <w:tcBorders>
              <w:bottom w:val="single" w:sz="4" w:space="0" w:color="auto"/>
            </w:tcBorders>
            <w:shd w:val="clear" w:color="auto" w:fill="auto"/>
            <w:noWrap/>
            <w:vAlign w:val="center"/>
            <w:hideMark/>
          </w:tcPr>
          <w:p w14:paraId="607A3150" w14:textId="227D0448" w:rsidR="00017754" w:rsidRPr="0024760A" w:rsidRDefault="00017754" w:rsidP="00017754">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M</w:t>
            </w:r>
            <w:r>
              <w:rPr>
                <w:rFonts w:ascii="Calibri" w:eastAsia="Times New Roman" w:hAnsi="Calibri" w:cs="Times New Roman"/>
                <w:color w:val="000000"/>
                <w:lang w:val="en-US" w:eastAsia="pt-BR"/>
              </w:rPr>
              <w:t>ean</w:t>
            </w:r>
          </w:p>
        </w:tc>
        <w:tc>
          <w:tcPr>
            <w:tcW w:w="992" w:type="dxa"/>
            <w:tcBorders>
              <w:bottom w:val="single" w:sz="4" w:space="0" w:color="auto"/>
            </w:tcBorders>
            <w:shd w:val="clear" w:color="auto" w:fill="auto"/>
            <w:noWrap/>
            <w:vAlign w:val="center"/>
            <w:hideMark/>
          </w:tcPr>
          <w:p w14:paraId="4AC2A553" w14:textId="4B40A68F" w:rsidR="00017754" w:rsidRPr="0024760A" w:rsidRDefault="00017754" w:rsidP="00017754">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Q3</w:t>
            </w:r>
          </w:p>
        </w:tc>
        <w:tc>
          <w:tcPr>
            <w:tcW w:w="993" w:type="dxa"/>
            <w:tcBorders>
              <w:bottom w:val="single" w:sz="4" w:space="0" w:color="auto"/>
            </w:tcBorders>
            <w:shd w:val="clear" w:color="auto" w:fill="auto"/>
            <w:noWrap/>
            <w:vAlign w:val="center"/>
            <w:hideMark/>
          </w:tcPr>
          <w:p w14:paraId="284D4422" w14:textId="36990225" w:rsidR="00017754" w:rsidRPr="0024760A" w:rsidRDefault="00017754" w:rsidP="00017754">
            <w:pPr>
              <w:spacing w:after="0" w:line="240" w:lineRule="auto"/>
              <w:ind w:left="-74" w:right="-66"/>
              <w:jc w:val="center"/>
              <w:rPr>
                <w:rFonts w:ascii="Calibri" w:eastAsia="Times New Roman" w:hAnsi="Calibri" w:cs="Times New Roman"/>
                <w:color w:val="000000"/>
                <w:lang w:val="en-US" w:eastAsia="pt-BR"/>
              </w:rPr>
            </w:pPr>
            <w:r>
              <w:rPr>
                <w:rFonts w:ascii="Calibri" w:eastAsia="Times New Roman" w:hAnsi="Calibri" w:cs="Times New Roman"/>
                <w:color w:val="000000"/>
                <w:lang w:val="en-US" w:eastAsia="pt-BR"/>
              </w:rPr>
              <w:t>Maximum</w:t>
            </w:r>
          </w:p>
        </w:tc>
      </w:tr>
      <w:tr w:rsidR="00EB770F" w:rsidRPr="0024760A" w14:paraId="114ACEBE" w14:textId="77777777" w:rsidTr="00017754">
        <w:trPr>
          <w:trHeight w:val="300"/>
        </w:trPr>
        <w:tc>
          <w:tcPr>
            <w:tcW w:w="4253" w:type="dxa"/>
            <w:tcBorders>
              <w:bottom w:val="nil"/>
            </w:tcBorders>
            <w:shd w:val="clear" w:color="auto" w:fill="auto"/>
            <w:noWrap/>
            <w:vAlign w:val="center"/>
            <w:hideMark/>
          </w:tcPr>
          <w:p w14:paraId="0615DAF8" w14:textId="3696A33A" w:rsidR="00EB770F" w:rsidRPr="0024760A" w:rsidRDefault="00411483" w:rsidP="00056BE5">
            <w:pPr>
              <w:spacing w:after="0" w:line="240" w:lineRule="auto"/>
              <w:ind w:left="-72"/>
              <w:rPr>
                <w:rFonts w:ascii="Calibri" w:eastAsia="Times New Roman" w:hAnsi="Calibri" w:cs="Times New Roman"/>
                <w:color w:val="000000"/>
                <w:lang w:val="en-US" w:eastAsia="pt-BR"/>
              </w:rPr>
            </w:pPr>
            <w:r w:rsidRPr="00411483">
              <w:rPr>
                <w:rFonts w:ascii="Calibri" w:eastAsia="Times New Roman" w:hAnsi="Calibri" w:cs="Times New Roman"/>
                <w:color w:val="000000"/>
                <w:lang w:val="en-US" w:eastAsia="pt-BR"/>
              </w:rPr>
              <w:t>Without score cut-outs</w:t>
            </w:r>
          </w:p>
        </w:tc>
        <w:tc>
          <w:tcPr>
            <w:tcW w:w="992" w:type="dxa"/>
            <w:tcBorders>
              <w:bottom w:val="nil"/>
            </w:tcBorders>
            <w:shd w:val="clear" w:color="auto" w:fill="auto"/>
            <w:noWrap/>
            <w:vAlign w:val="center"/>
          </w:tcPr>
          <w:p w14:paraId="0F7E0B4D" w14:textId="2A6526A4" w:rsidR="00EB770F" w:rsidRPr="0024760A" w:rsidRDefault="00107840" w:rsidP="00017754">
            <w:pPr>
              <w:spacing w:after="0" w:line="240" w:lineRule="auto"/>
              <w:ind w:left="-67" w:right="-73"/>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2948</w:t>
            </w:r>
          </w:p>
        </w:tc>
        <w:tc>
          <w:tcPr>
            <w:tcW w:w="992" w:type="dxa"/>
            <w:tcBorders>
              <w:bottom w:val="nil"/>
            </w:tcBorders>
            <w:shd w:val="clear" w:color="auto" w:fill="auto"/>
            <w:noWrap/>
            <w:vAlign w:val="center"/>
          </w:tcPr>
          <w:p w14:paraId="71844D14" w14:textId="55709426" w:rsidR="00EB770F" w:rsidRPr="0024760A" w:rsidRDefault="00107840" w:rsidP="00525B6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9541</w:t>
            </w:r>
          </w:p>
        </w:tc>
        <w:tc>
          <w:tcPr>
            <w:tcW w:w="992" w:type="dxa"/>
            <w:tcBorders>
              <w:bottom w:val="nil"/>
            </w:tcBorders>
            <w:shd w:val="clear" w:color="auto" w:fill="auto"/>
            <w:noWrap/>
            <w:vAlign w:val="center"/>
          </w:tcPr>
          <w:p w14:paraId="7B8DFCBC" w14:textId="4F014C10" w:rsidR="00EB770F" w:rsidRPr="0024760A" w:rsidRDefault="00107840" w:rsidP="00525B6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9783</w:t>
            </w:r>
          </w:p>
        </w:tc>
        <w:tc>
          <w:tcPr>
            <w:tcW w:w="992" w:type="dxa"/>
            <w:tcBorders>
              <w:bottom w:val="nil"/>
            </w:tcBorders>
            <w:shd w:val="clear" w:color="auto" w:fill="auto"/>
            <w:noWrap/>
            <w:vAlign w:val="center"/>
          </w:tcPr>
          <w:p w14:paraId="1125BDE6" w14:textId="65161CBC" w:rsidR="00EB770F" w:rsidRPr="0024760A" w:rsidRDefault="00107840" w:rsidP="00525B6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9498</w:t>
            </w:r>
          </w:p>
        </w:tc>
        <w:tc>
          <w:tcPr>
            <w:tcW w:w="992" w:type="dxa"/>
            <w:tcBorders>
              <w:bottom w:val="nil"/>
            </w:tcBorders>
            <w:shd w:val="clear" w:color="auto" w:fill="auto"/>
            <w:noWrap/>
            <w:vAlign w:val="center"/>
          </w:tcPr>
          <w:p w14:paraId="6FF2CEEF" w14:textId="25EDAE7E" w:rsidR="00EB770F" w:rsidRPr="0024760A" w:rsidRDefault="00107840" w:rsidP="00525B6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9985</w:t>
            </w:r>
          </w:p>
        </w:tc>
        <w:tc>
          <w:tcPr>
            <w:tcW w:w="993" w:type="dxa"/>
            <w:tcBorders>
              <w:bottom w:val="nil"/>
            </w:tcBorders>
            <w:shd w:val="clear" w:color="auto" w:fill="auto"/>
            <w:noWrap/>
            <w:vAlign w:val="center"/>
          </w:tcPr>
          <w:p w14:paraId="50F9915F" w14:textId="395C60F0" w:rsidR="00EB770F" w:rsidRPr="0024760A" w:rsidRDefault="00107840" w:rsidP="00017754">
            <w:pPr>
              <w:spacing w:after="0" w:line="240" w:lineRule="auto"/>
              <w:ind w:left="-74" w:right="-66"/>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9979</w:t>
            </w:r>
          </w:p>
        </w:tc>
      </w:tr>
      <w:tr w:rsidR="00EB770F" w:rsidRPr="0024760A" w14:paraId="72BC4433" w14:textId="77777777" w:rsidTr="00017754">
        <w:trPr>
          <w:trHeight w:val="300"/>
        </w:trPr>
        <w:tc>
          <w:tcPr>
            <w:tcW w:w="4253" w:type="dxa"/>
            <w:tcBorders>
              <w:top w:val="nil"/>
              <w:bottom w:val="nil"/>
            </w:tcBorders>
            <w:shd w:val="clear" w:color="auto" w:fill="auto"/>
            <w:noWrap/>
            <w:vAlign w:val="center"/>
            <w:hideMark/>
          </w:tcPr>
          <w:p w14:paraId="7DEA11B5" w14:textId="3B636F73" w:rsidR="00EB770F" w:rsidRPr="0024760A" w:rsidRDefault="00017754" w:rsidP="00056BE5">
            <w:pPr>
              <w:spacing w:after="0" w:line="240" w:lineRule="auto"/>
              <w:ind w:left="-72"/>
              <w:rPr>
                <w:rFonts w:ascii="Calibri" w:eastAsia="Times New Roman" w:hAnsi="Calibri" w:cs="Times New Roman"/>
                <w:color w:val="000000"/>
                <w:lang w:val="en-US" w:eastAsia="pt-BR"/>
              </w:rPr>
            </w:pPr>
            <w:r w:rsidRPr="00017754">
              <w:rPr>
                <w:rFonts w:ascii="Calibri" w:eastAsia="Times New Roman" w:hAnsi="Calibri" w:cs="Times New Roman"/>
                <w:color w:val="000000"/>
                <w:lang w:val="en-US" w:eastAsia="pt-BR"/>
              </w:rPr>
              <w:t>Cut-</w:t>
            </w:r>
            <w:r w:rsidR="00056BE5">
              <w:rPr>
                <w:rFonts w:ascii="Calibri" w:eastAsia="Times New Roman" w:hAnsi="Calibri" w:cs="Times New Roman"/>
                <w:color w:val="000000"/>
                <w:lang w:val="en-US" w:eastAsia="pt-BR"/>
              </w:rPr>
              <w:t>out</w:t>
            </w:r>
            <w:r w:rsidRPr="00017754">
              <w:rPr>
                <w:rFonts w:ascii="Calibri" w:eastAsia="Times New Roman" w:hAnsi="Calibri" w:cs="Times New Roman"/>
                <w:color w:val="000000"/>
                <w:lang w:val="en-US" w:eastAsia="pt-BR"/>
              </w:rPr>
              <w:t xml:space="preserve"> for scores greater than or equal to 2/3</w:t>
            </w:r>
          </w:p>
        </w:tc>
        <w:tc>
          <w:tcPr>
            <w:tcW w:w="992" w:type="dxa"/>
            <w:tcBorders>
              <w:top w:val="nil"/>
              <w:bottom w:val="nil"/>
            </w:tcBorders>
            <w:shd w:val="clear" w:color="auto" w:fill="auto"/>
            <w:noWrap/>
            <w:vAlign w:val="center"/>
          </w:tcPr>
          <w:p w14:paraId="17B63FEC" w14:textId="184B1ECD" w:rsidR="00EB770F" w:rsidRPr="0024760A" w:rsidRDefault="00107840" w:rsidP="00017754">
            <w:pPr>
              <w:spacing w:after="0" w:line="240" w:lineRule="auto"/>
              <w:ind w:left="-67" w:right="-73"/>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6684</w:t>
            </w:r>
          </w:p>
        </w:tc>
        <w:tc>
          <w:tcPr>
            <w:tcW w:w="992" w:type="dxa"/>
            <w:tcBorders>
              <w:top w:val="nil"/>
              <w:bottom w:val="nil"/>
            </w:tcBorders>
            <w:shd w:val="clear" w:color="auto" w:fill="auto"/>
            <w:noWrap/>
            <w:vAlign w:val="center"/>
          </w:tcPr>
          <w:p w14:paraId="45BEFB41" w14:textId="59DC3C34" w:rsidR="00EB770F" w:rsidRPr="0024760A" w:rsidRDefault="00107840" w:rsidP="00525B6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9562</w:t>
            </w:r>
          </w:p>
        </w:tc>
        <w:tc>
          <w:tcPr>
            <w:tcW w:w="992" w:type="dxa"/>
            <w:tcBorders>
              <w:top w:val="nil"/>
              <w:bottom w:val="nil"/>
            </w:tcBorders>
            <w:shd w:val="clear" w:color="auto" w:fill="auto"/>
            <w:noWrap/>
            <w:vAlign w:val="center"/>
          </w:tcPr>
          <w:p w14:paraId="4AB9C122" w14:textId="6B2F1380" w:rsidR="00EB770F" w:rsidRPr="0024760A" w:rsidRDefault="00107840" w:rsidP="00525B6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9785</w:t>
            </w:r>
          </w:p>
        </w:tc>
        <w:tc>
          <w:tcPr>
            <w:tcW w:w="992" w:type="dxa"/>
            <w:tcBorders>
              <w:top w:val="nil"/>
              <w:bottom w:val="nil"/>
            </w:tcBorders>
            <w:shd w:val="clear" w:color="auto" w:fill="auto"/>
            <w:noWrap/>
            <w:vAlign w:val="center"/>
          </w:tcPr>
          <w:p w14:paraId="53330AFE" w14:textId="51F1746A" w:rsidR="00EB770F" w:rsidRPr="0024760A" w:rsidRDefault="00107840" w:rsidP="00525B6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9556</w:t>
            </w:r>
          </w:p>
        </w:tc>
        <w:tc>
          <w:tcPr>
            <w:tcW w:w="992" w:type="dxa"/>
            <w:tcBorders>
              <w:top w:val="nil"/>
              <w:bottom w:val="nil"/>
            </w:tcBorders>
            <w:shd w:val="clear" w:color="auto" w:fill="auto"/>
            <w:noWrap/>
            <w:vAlign w:val="center"/>
          </w:tcPr>
          <w:p w14:paraId="6839A3B6" w14:textId="5DECA507" w:rsidR="00EB770F" w:rsidRPr="0024760A" w:rsidRDefault="00107840" w:rsidP="00525B6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9885</w:t>
            </w:r>
          </w:p>
        </w:tc>
        <w:tc>
          <w:tcPr>
            <w:tcW w:w="993" w:type="dxa"/>
            <w:tcBorders>
              <w:top w:val="nil"/>
              <w:bottom w:val="nil"/>
            </w:tcBorders>
            <w:shd w:val="clear" w:color="auto" w:fill="auto"/>
            <w:noWrap/>
            <w:vAlign w:val="center"/>
          </w:tcPr>
          <w:p w14:paraId="064A7D79" w14:textId="11E45A01" w:rsidR="00EB770F" w:rsidRPr="0024760A" w:rsidRDefault="00107840" w:rsidP="00017754">
            <w:pPr>
              <w:spacing w:after="0" w:line="240" w:lineRule="auto"/>
              <w:ind w:left="-74" w:right="-66"/>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9979</w:t>
            </w:r>
          </w:p>
        </w:tc>
      </w:tr>
      <w:tr w:rsidR="00EB770F" w:rsidRPr="0024760A" w14:paraId="5FB88ED2" w14:textId="77777777" w:rsidTr="00017754">
        <w:trPr>
          <w:trHeight w:val="300"/>
        </w:trPr>
        <w:tc>
          <w:tcPr>
            <w:tcW w:w="4253" w:type="dxa"/>
            <w:tcBorders>
              <w:top w:val="nil"/>
              <w:bottom w:val="nil"/>
            </w:tcBorders>
            <w:shd w:val="clear" w:color="auto" w:fill="auto"/>
            <w:noWrap/>
            <w:vAlign w:val="center"/>
          </w:tcPr>
          <w:p w14:paraId="3B91500A" w14:textId="2A50696B" w:rsidR="00EB770F" w:rsidRPr="0024760A" w:rsidRDefault="00017754" w:rsidP="00056BE5">
            <w:pPr>
              <w:spacing w:after="0" w:line="240" w:lineRule="auto"/>
              <w:ind w:left="-72"/>
              <w:rPr>
                <w:rFonts w:ascii="Calibri" w:eastAsia="Times New Roman" w:hAnsi="Calibri" w:cs="Times New Roman"/>
                <w:color w:val="000000"/>
                <w:lang w:val="en-US" w:eastAsia="pt-BR"/>
              </w:rPr>
            </w:pPr>
            <w:r w:rsidRPr="00017754">
              <w:rPr>
                <w:rFonts w:ascii="Calibri" w:eastAsia="Times New Roman" w:hAnsi="Calibri" w:cs="Times New Roman"/>
                <w:color w:val="000000"/>
                <w:lang w:val="en-US" w:eastAsia="pt-BR"/>
              </w:rPr>
              <w:t>Cut-</w:t>
            </w:r>
            <w:r w:rsidR="00056BE5">
              <w:rPr>
                <w:rFonts w:ascii="Calibri" w:eastAsia="Times New Roman" w:hAnsi="Calibri" w:cs="Times New Roman"/>
                <w:color w:val="000000"/>
                <w:lang w:val="en-US" w:eastAsia="pt-BR"/>
              </w:rPr>
              <w:t>out</w:t>
            </w:r>
            <w:r w:rsidRPr="00017754">
              <w:rPr>
                <w:rFonts w:ascii="Calibri" w:eastAsia="Times New Roman" w:hAnsi="Calibri" w:cs="Times New Roman"/>
                <w:color w:val="000000"/>
                <w:lang w:val="en-US" w:eastAsia="pt-BR"/>
              </w:rPr>
              <w:t xml:space="preserve"> for scores greater than or equal to</w:t>
            </w:r>
            <w:r>
              <w:rPr>
                <w:rFonts w:ascii="Calibri" w:eastAsia="Times New Roman" w:hAnsi="Calibri" w:cs="Times New Roman"/>
                <w:color w:val="000000"/>
                <w:lang w:val="en-US" w:eastAsia="pt-BR"/>
              </w:rPr>
              <w:t xml:space="preserve"> 3</w:t>
            </w:r>
            <w:r w:rsidRPr="00017754">
              <w:rPr>
                <w:rFonts w:ascii="Calibri" w:eastAsia="Times New Roman" w:hAnsi="Calibri" w:cs="Times New Roman"/>
                <w:color w:val="000000"/>
                <w:lang w:val="en-US" w:eastAsia="pt-BR"/>
              </w:rPr>
              <w:t>/</w:t>
            </w:r>
            <w:r>
              <w:rPr>
                <w:rFonts w:ascii="Calibri" w:eastAsia="Times New Roman" w:hAnsi="Calibri" w:cs="Times New Roman"/>
                <w:color w:val="000000"/>
                <w:lang w:val="en-US" w:eastAsia="pt-BR"/>
              </w:rPr>
              <w:t>4</w:t>
            </w:r>
          </w:p>
        </w:tc>
        <w:tc>
          <w:tcPr>
            <w:tcW w:w="992" w:type="dxa"/>
            <w:tcBorders>
              <w:top w:val="nil"/>
              <w:bottom w:val="nil"/>
            </w:tcBorders>
            <w:shd w:val="clear" w:color="auto" w:fill="auto"/>
            <w:noWrap/>
            <w:vAlign w:val="center"/>
          </w:tcPr>
          <w:p w14:paraId="50B85EAE" w14:textId="22CA0640" w:rsidR="00EB770F" w:rsidRPr="0024760A" w:rsidRDefault="003C1EFF" w:rsidP="00017754">
            <w:pPr>
              <w:spacing w:after="0" w:line="240" w:lineRule="auto"/>
              <w:ind w:left="-67" w:right="-73"/>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7504</w:t>
            </w:r>
          </w:p>
        </w:tc>
        <w:tc>
          <w:tcPr>
            <w:tcW w:w="992" w:type="dxa"/>
            <w:tcBorders>
              <w:top w:val="nil"/>
              <w:bottom w:val="nil"/>
            </w:tcBorders>
            <w:shd w:val="clear" w:color="auto" w:fill="auto"/>
            <w:noWrap/>
            <w:vAlign w:val="center"/>
          </w:tcPr>
          <w:p w14:paraId="4C152B40" w14:textId="340DA353" w:rsidR="00EB770F" w:rsidRPr="0024760A" w:rsidRDefault="003C1EFF" w:rsidP="00525B6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9584</w:t>
            </w:r>
          </w:p>
        </w:tc>
        <w:tc>
          <w:tcPr>
            <w:tcW w:w="992" w:type="dxa"/>
            <w:tcBorders>
              <w:top w:val="nil"/>
              <w:bottom w:val="nil"/>
            </w:tcBorders>
            <w:shd w:val="clear" w:color="auto" w:fill="auto"/>
            <w:noWrap/>
            <w:vAlign w:val="center"/>
          </w:tcPr>
          <w:p w14:paraId="6329219F" w14:textId="41418213" w:rsidR="00EB770F" w:rsidRPr="0024760A" w:rsidRDefault="003C1EFF" w:rsidP="00525B6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9793</w:t>
            </w:r>
          </w:p>
        </w:tc>
        <w:tc>
          <w:tcPr>
            <w:tcW w:w="992" w:type="dxa"/>
            <w:tcBorders>
              <w:top w:val="nil"/>
              <w:bottom w:val="nil"/>
            </w:tcBorders>
            <w:shd w:val="clear" w:color="auto" w:fill="auto"/>
            <w:noWrap/>
            <w:vAlign w:val="center"/>
          </w:tcPr>
          <w:p w14:paraId="3BFBB5C4" w14:textId="5C3EE05B" w:rsidR="00EB770F" w:rsidRPr="0024760A" w:rsidRDefault="003C1EFF" w:rsidP="00525B6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96</w:t>
            </w:r>
          </w:p>
        </w:tc>
        <w:tc>
          <w:tcPr>
            <w:tcW w:w="992" w:type="dxa"/>
            <w:tcBorders>
              <w:top w:val="nil"/>
              <w:bottom w:val="nil"/>
            </w:tcBorders>
            <w:shd w:val="clear" w:color="auto" w:fill="auto"/>
            <w:noWrap/>
            <w:vAlign w:val="center"/>
          </w:tcPr>
          <w:p w14:paraId="4278F459" w14:textId="5F1EA53F" w:rsidR="00EB770F" w:rsidRPr="0024760A" w:rsidRDefault="003C1EFF" w:rsidP="00525B6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9887</w:t>
            </w:r>
          </w:p>
        </w:tc>
        <w:tc>
          <w:tcPr>
            <w:tcW w:w="993" w:type="dxa"/>
            <w:tcBorders>
              <w:top w:val="nil"/>
              <w:bottom w:val="nil"/>
            </w:tcBorders>
            <w:shd w:val="clear" w:color="auto" w:fill="auto"/>
            <w:noWrap/>
            <w:vAlign w:val="center"/>
          </w:tcPr>
          <w:p w14:paraId="3542D37F" w14:textId="2BE75731" w:rsidR="00EB770F" w:rsidRPr="0024760A" w:rsidRDefault="003C1EFF" w:rsidP="00017754">
            <w:pPr>
              <w:spacing w:after="0" w:line="240" w:lineRule="auto"/>
              <w:ind w:left="-74" w:right="-66"/>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9979</w:t>
            </w:r>
          </w:p>
        </w:tc>
      </w:tr>
      <w:tr w:rsidR="00EB770F" w:rsidRPr="0024760A" w14:paraId="29302E16" w14:textId="77777777" w:rsidTr="00017754">
        <w:trPr>
          <w:trHeight w:val="300"/>
        </w:trPr>
        <w:tc>
          <w:tcPr>
            <w:tcW w:w="4253" w:type="dxa"/>
            <w:tcBorders>
              <w:top w:val="nil"/>
            </w:tcBorders>
            <w:shd w:val="clear" w:color="auto" w:fill="auto"/>
            <w:noWrap/>
            <w:vAlign w:val="center"/>
            <w:hideMark/>
          </w:tcPr>
          <w:p w14:paraId="464BE668" w14:textId="0AC65856" w:rsidR="00EB770F" w:rsidRPr="0024760A" w:rsidRDefault="00017754" w:rsidP="00056BE5">
            <w:pPr>
              <w:spacing w:after="0" w:line="240" w:lineRule="auto"/>
              <w:ind w:left="-72"/>
              <w:rPr>
                <w:rFonts w:ascii="Calibri" w:eastAsia="Times New Roman" w:hAnsi="Calibri" w:cs="Times New Roman"/>
                <w:color w:val="000000"/>
                <w:lang w:val="en-US" w:eastAsia="pt-BR"/>
              </w:rPr>
            </w:pPr>
            <w:r w:rsidRPr="00017754">
              <w:rPr>
                <w:rFonts w:ascii="Calibri" w:eastAsia="Times New Roman" w:hAnsi="Calibri" w:cs="Times New Roman"/>
                <w:color w:val="000000"/>
                <w:lang w:val="en-US" w:eastAsia="pt-BR"/>
              </w:rPr>
              <w:t>Cut-</w:t>
            </w:r>
            <w:r w:rsidR="00056BE5">
              <w:rPr>
                <w:rFonts w:ascii="Calibri" w:eastAsia="Times New Roman" w:hAnsi="Calibri" w:cs="Times New Roman"/>
                <w:color w:val="000000"/>
                <w:lang w:val="en-US" w:eastAsia="pt-BR"/>
              </w:rPr>
              <w:t>out</w:t>
            </w:r>
            <w:r w:rsidRPr="00017754">
              <w:rPr>
                <w:rFonts w:ascii="Calibri" w:eastAsia="Times New Roman" w:hAnsi="Calibri" w:cs="Times New Roman"/>
                <w:color w:val="000000"/>
                <w:lang w:val="en-US" w:eastAsia="pt-BR"/>
              </w:rPr>
              <w:t xml:space="preserve"> for scores greater than or equal to</w:t>
            </w:r>
            <w:r w:rsidR="00EB770F" w:rsidRPr="0024760A">
              <w:rPr>
                <w:rFonts w:ascii="Calibri" w:eastAsia="Times New Roman" w:hAnsi="Calibri" w:cs="Times New Roman"/>
                <w:color w:val="000000"/>
                <w:lang w:val="en-US" w:eastAsia="pt-BR"/>
              </w:rPr>
              <w:t xml:space="preserve"> 4/5</w:t>
            </w:r>
          </w:p>
        </w:tc>
        <w:tc>
          <w:tcPr>
            <w:tcW w:w="992" w:type="dxa"/>
            <w:tcBorders>
              <w:top w:val="nil"/>
            </w:tcBorders>
            <w:shd w:val="clear" w:color="auto" w:fill="auto"/>
            <w:noWrap/>
            <w:vAlign w:val="center"/>
          </w:tcPr>
          <w:p w14:paraId="68D2EEA2" w14:textId="1A91A46E" w:rsidR="00EB770F" w:rsidRPr="0024760A" w:rsidRDefault="003C1EFF" w:rsidP="00017754">
            <w:pPr>
              <w:spacing w:after="0" w:line="240" w:lineRule="auto"/>
              <w:ind w:left="-67" w:right="-73"/>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8006</w:t>
            </w:r>
          </w:p>
        </w:tc>
        <w:tc>
          <w:tcPr>
            <w:tcW w:w="992" w:type="dxa"/>
            <w:tcBorders>
              <w:top w:val="nil"/>
            </w:tcBorders>
            <w:shd w:val="clear" w:color="auto" w:fill="auto"/>
            <w:noWrap/>
            <w:vAlign w:val="center"/>
          </w:tcPr>
          <w:p w14:paraId="7F19A84C" w14:textId="095023A8" w:rsidR="00EB770F" w:rsidRPr="0024760A" w:rsidRDefault="003C1EFF" w:rsidP="00525B6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9608</w:t>
            </w:r>
          </w:p>
        </w:tc>
        <w:tc>
          <w:tcPr>
            <w:tcW w:w="992" w:type="dxa"/>
            <w:tcBorders>
              <w:top w:val="nil"/>
            </w:tcBorders>
            <w:shd w:val="clear" w:color="auto" w:fill="auto"/>
            <w:noWrap/>
            <w:vAlign w:val="center"/>
          </w:tcPr>
          <w:p w14:paraId="165A5795" w14:textId="2B9AC248" w:rsidR="00EB770F" w:rsidRPr="0024760A" w:rsidRDefault="003C1EFF" w:rsidP="00525B6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9801</w:t>
            </w:r>
          </w:p>
        </w:tc>
        <w:tc>
          <w:tcPr>
            <w:tcW w:w="992" w:type="dxa"/>
            <w:tcBorders>
              <w:top w:val="nil"/>
            </w:tcBorders>
            <w:shd w:val="clear" w:color="auto" w:fill="auto"/>
            <w:noWrap/>
            <w:vAlign w:val="center"/>
          </w:tcPr>
          <w:p w14:paraId="22DEBF3B" w14:textId="3027D7C7" w:rsidR="00EB770F" w:rsidRPr="0024760A" w:rsidRDefault="003C1EFF" w:rsidP="00525B6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9653</w:t>
            </w:r>
          </w:p>
        </w:tc>
        <w:tc>
          <w:tcPr>
            <w:tcW w:w="992" w:type="dxa"/>
            <w:tcBorders>
              <w:top w:val="nil"/>
            </w:tcBorders>
            <w:shd w:val="clear" w:color="auto" w:fill="auto"/>
            <w:noWrap/>
            <w:vAlign w:val="center"/>
          </w:tcPr>
          <w:p w14:paraId="565AF494" w14:textId="6D6E5F71" w:rsidR="00EB770F" w:rsidRPr="0024760A" w:rsidRDefault="003C1EFF" w:rsidP="00525B62">
            <w:pPr>
              <w:spacing w:after="0" w:line="240" w:lineRule="auto"/>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9889</w:t>
            </w:r>
          </w:p>
        </w:tc>
        <w:tc>
          <w:tcPr>
            <w:tcW w:w="993" w:type="dxa"/>
            <w:tcBorders>
              <w:top w:val="nil"/>
            </w:tcBorders>
            <w:shd w:val="clear" w:color="auto" w:fill="auto"/>
            <w:noWrap/>
            <w:vAlign w:val="center"/>
          </w:tcPr>
          <w:p w14:paraId="7A65A9CE" w14:textId="2AC3ECD5" w:rsidR="00EB770F" w:rsidRPr="0024760A" w:rsidRDefault="003C1EFF" w:rsidP="00017754">
            <w:pPr>
              <w:spacing w:after="0" w:line="240" w:lineRule="auto"/>
              <w:ind w:left="-74" w:right="-66"/>
              <w:jc w:val="center"/>
              <w:rPr>
                <w:rFonts w:ascii="Calibri" w:eastAsia="Times New Roman" w:hAnsi="Calibri" w:cs="Times New Roman"/>
                <w:color w:val="000000"/>
                <w:lang w:val="en-US" w:eastAsia="pt-BR"/>
              </w:rPr>
            </w:pPr>
            <w:r w:rsidRPr="0024760A">
              <w:rPr>
                <w:rFonts w:ascii="Calibri" w:eastAsia="Times New Roman" w:hAnsi="Calibri" w:cs="Times New Roman"/>
                <w:color w:val="000000"/>
                <w:lang w:val="en-US" w:eastAsia="pt-BR"/>
              </w:rPr>
              <w:t>0</w:t>
            </w:r>
            <w:r w:rsidR="00017754">
              <w:rPr>
                <w:rFonts w:ascii="Calibri" w:eastAsia="Times New Roman" w:hAnsi="Calibri" w:cs="Times New Roman"/>
                <w:color w:val="000000"/>
                <w:lang w:val="en-US" w:eastAsia="pt-BR"/>
              </w:rPr>
              <w:t>.</w:t>
            </w:r>
            <w:r w:rsidRPr="0024760A">
              <w:rPr>
                <w:rFonts w:ascii="Calibri" w:eastAsia="Times New Roman" w:hAnsi="Calibri" w:cs="Times New Roman"/>
                <w:color w:val="000000"/>
                <w:lang w:val="en-US" w:eastAsia="pt-BR"/>
              </w:rPr>
              <w:t>9979</w:t>
            </w:r>
          </w:p>
        </w:tc>
      </w:tr>
    </w:tbl>
    <w:p w14:paraId="5247C392" w14:textId="77777777" w:rsidR="00695274" w:rsidRPr="0024760A" w:rsidRDefault="00695274" w:rsidP="00360B37">
      <w:pPr>
        <w:jc w:val="both"/>
        <w:rPr>
          <w:lang w:val="en-US"/>
        </w:rPr>
      </w:pPr>
    </w:p>
    <w:p w14:paraId="324A38EB" w14:textId="2BE9658E" w:rsidR="00EB56D5" w:rsidRPr="0024760A" w:rsidRDefault="00411483" w:rsidP="00360B37">
      <w:pPr>
        <w:jc w:val="both"/>
        <w:rPr>
          <w:lang w:val="en-US"/>
        </w:rPr>
      </w:pPr>
      <w:r w:rsidRPr="00411483">
        <w:rPr>
          <w:lang w:val="en-US"/>
        </w:rPr>
        <w:t>Considering the results of the comparison of weights of the respondents to the ICT Panel - 6th edition, it was decided to use the cut-out of propensity scores greater than or equal to 2/3 as the identification of the population of Internet users 16 years old or older</w:t>
      </w:r>
      <w:r w:rsidR="00360B37" w:rsidRPr="0024760A">
        <w:rPr>
          <w:lang w:val="en-US"/>
        </w:rPr>
        <w:t>.</w:t>
      </w:r>
    </w:p>
    <w:p w14:paraId="08F4D1D8" w14:textId="5EB46C23" w:rsidR="00360B37" w:rsidRPr="0024760A" w:rsidRDefault="00411483" w:rsidP="00EB56D5">
      <w:pPr>
        <w:spacing w:after="0" w:line="240" w:lineRule="auto"/>
        <w:jc w:val="both"/>
        <w:rPr>
          <w:lang w:val="en-US"/>
        </w:rPr>
      </w:pPr>
      <w:r w:rsidRPr="00411483">
        <w:rPr>
          <w:lang w:val="en-US"/>
        </w:rPr>
        <w:t>With this cut-out, the represented population corresponds to just over 113 million (approximately 85%) of users 16 years old or older. It should be noted that the population represented - with the highest propensity scores to be Internet users - consists of a younger, more educated population in higher social classes</w:t>
      </w:r>
      <w:r w:rsidR="006C35BD" w:rsidRPr="0024760A">
        <w:rPr>
          <w:lang w:val="en-US"/>
        </w:rPr>
        <w:t>.</w:t>
      </w:r>
    </w:p>
    <w:p w14:paraId="514A086C" w14:textId="77777777" w:rsidR="006C35BD" w:rsidRPr="0024760A" w:rsidRDefault="006C35BD" w:rsidP="00EB56D5">
      <w:pPr>
        <w:spacing w:after="0" w:line="240" w:lineRule="auto"/>
        <w:jc w:val="both"/>
        <w:rPr>
          <w:lang w:val="en-US"/>
        </w:rPr>
      </w:pPr>
    </w:p>
    <w:p w14:paraId="60817CC0" w14:textId="77777777" w:rsidR="00360B37" w:rsidRPr="0024760A" w:rsidRDefault="00360B37" w:rsidP="00EB56D5">
      <w:pPr>
        <w:spacing w:after="0" w:line="240" w:lineRule="auto"/>
        <w:jc w:val="both"/>
        <w:rPr>
          <w:sz w:val="18"/>
          <w:szCs w:val="18"/>
          <w:lang w:val="en-US"/>
        </w:rPr>
      </w:pPr>
    </w:p>
    <w:p w14:paraId="00A94776" w14:textId="6CAE5103" w:rsidR="00EB56D5" w:rsidRPr="0024760A" w:rsidRDefault="00880922" w:rsidP="00EB56D5">
      <w:pPr>
        <w:keepNext/>
        <w:jc w:val="both"/>
        <w:rPr>
          <w:b/>
          <w:bCs/>
          <w:lang w:val="en-US"/>
        </w:rPr>
      </w:pPr>
      <w:r w:rsidRPr="0024760A">
        <w:rPr>
          <w:b/>
          <w:bCs/>
          <w:lang w:val="en-US"/>
        </w:rPr>
        <w:lastRenderedPageBreak/>
        <w:t>&lt;4&gt;</w:t>
      </w:r>
      <w:r w:rsidR="00B955CA" w:rsidRPr="00B955CA">
        <w:rPr>
          <w:b/>
          <w:bCs/>
          <w:lang w:val="en-US"/>
        </w:rPr>
        <w:t>Stage 2 - Estimation of pseudo-probabilities of inclusion to determine the weights of the respondents to the ICT Panel - 6th Edition</w:t>
      </w:r>
    </w:p>
    <w:p w14:paraId="7927289F" w14:textId="46022A08" w:rsidR="00EB56D5" w:rsidRPr="0024760A" w:rsidRDefault="00AE0B82" w:rsidP="00EB56D5">
      <w:pPr>
        <w:jc w:val="both"/>
        <w:rPr>
          <w:lang w:val="en-US"/>
        </w:rPr>
      </w:pPr>
      <w:r w:rsidRPr="00AE0B82">
        <w:rPr>
          <w:lang w:val="en-US"/>
        </w:rPr>
        <w:t>The process of estimating pseudo-weights consists of estimating pseudo-probabilities of inclusion of respondents from the ICT Panel (non-probability sample) in the ICT Households survey (probability sample) based on a model; and using their reciprocals as weights, just as in a traditional probability sampling survey</w:t>
      </w:r>
      <w:r w:rsidR="00880922" w:rsidRPr="0024760A">
        <w:rPr>
          <w:lang w:val="en-US"/>
        </w:rPr>
        <w:t>.</w:t>
      </w:r>
      <w:r w:rsidR="003A1AEA" w:rsidRPr="0024760A">
        <w:rPr>
          <w:rStyle w:val="Refdenotaderodap"/>
          <w:lang w:val="en-US"/>
        </w:rPr>
        <w:footnoteReference w:id="1"/>
      </w:r>
    </w:p>
    <w:p w14:paraId="00F6DBF7" w14:textId="30CD08C1" w:rsidR="00EB56D5" w:rsidRPr="0024760A" w:rsidRDefault="00AE0B82" w:rsidP="00AE0B82">
      <w:pPr>
        <w:jc w:val="both"/>
        <w:rPr>
          <w:lang w:val="en-US"/>
        </w:rPr>
      </w:pPr>
      <w:r w:rsidRPr="00AE0B82">
        <w:rPr>
          <w:lang w:val="en-US"/>
        </w:rPr>
        <w:t xml:space="preserve">The most parsimonious model considering the independent variables </w:t>
      </w:r>
      <w:r w:rsidR="00EB56D5" w:rsidRPr="0024760A">
        <w:rPr>
          <w:lang w:val="en-US"/>
        </w:rPr>
        <w:t>(</w:t>
      </w:r>
      <m:oMath>
        <m:r>
          <m:rPr>
            <m:nor/>
          </m:rPr>
          <w:rPr>
            <w:rFonts w:ascii="Cambria Math" w:hAnsi="Cambria Math"/>
            <w:b/>
            <w:bCs/>
            <w:lang w:val="en-US"/>
          </w:rPr>
          <m:t>X</m:t>
        </m:r>
      </m:oMath>
      <w:r w:rsidR="00EB56D5" w:rsidRPr="0024760A">
        <w:rPr>
          <w:lang w:val="en-US"/>
        </w:rPr>
        <w:t xml:space="preserve">) </w:t>
      </w:r>
      <w:r w:rsidRPr="00AE0B82">
        <w:rPr>
          <w:lang w:val="en-US"/>
        </w:rPr>
        <w:t>available and common to both databases contains the following variables: macro-region, social class, indicator of Internet use on computers, level of education, age group, sex, and number of residents in the household. Based on this model, the pseudo-probabilities of inclusion of respondents from the ICT Panel - 6th Edition into the ICT Households 2022 survey were estimated. The reciprocals of these pseudo-probabilities are the initial weights allocated to each respondent from the ICT Panel - 6th Edition</w:t>
      </w:r>
      <w:r w:rsidR="00EB56D5" w:rsidRPr="0024760A">
        <w:rPr>
          <w:lang w:val="en-US"/>
        </w:rPr>
        <w:t>.</w:t>
      </w:r>
    </w:p>
    <w:p w14:paraId="19614AA1" w14:textId="593E31F5" w:rsidR="00EB56D5" w:rsidRPr="0024760A" w:rsidRDefault="00AE0B82" w:rsidP="00EB56D5">
      <w:pPr>
        <w:jc w:val="both"/>
        <w:rPr>
          <w:lang w:val="en-US"/>
        </w:rPr>
      </w:pPr>
      <w:r w:rsidRPr="00AE0B82">
        <w:rPr>
          <w:lang w:val="en-US"/>
        </w:rPr>
        <w:t>These initial weights were calibrated to the estimated marginal totals of the variables macro-region, sex, age group, level of education, and Internet activity practices. The weights thus calibrated were considered for the estimation of all the outcome indicators of interest and the associated measures of precision</w:t>
      </w:r>
      <w:r w:rsidR="00EB56D5" w:rsidRPr="0024760A">
        <w:rPr>
          <w:lang w:val="en-US"/>
        </w:rPr>
        <w:t>.</w:t>
      </w:r>
    </w:p>
    <w:p w14:paraId="4478C94C" w14:textId="77777777" w:rsidR="00EB56D5" w:rsidRPr="0024760A" w:rsidRDefault="00EB56D5" w:rsidP="00EB56D5">
      <w:pPr>
        <w:jc w:val="both"/>
        <w:rPr>
          <w:lang w:val="en-US"/>
        </w:rPr>
      </w:pPr>
    </w:p>
    <w:p w14:paraId="68CF4089" w14:textId="04EEED31" w:rsidR="00EB56D5" w:rsidRPr="0024760A" w:rsidRDefault="00FC6D6D" w:rsidP="00EB56D5">
      <w:pPr>
        <w:jc w:val="both"/>
        <w:rPr>
          <w:b/>
          <w:bCs/>
          <w:lang w:val="en-US"/>
        </w:rPr>
      </w:pPr>
      <w:r w:rsidRPr="0024760A">
        <w:rPr>
          <w:b/>
          <w:bCs/>
          <w:lang w:val="en-US"/>
        </w:rPr>
        <w:t>&lt;3&gt;</w:t>
      </w:r>
      <w:r w:rsidR="006B5E16" w:rsidRPr="0024760A">
        <w:rPr>
          <w:b/>
          <w:bCs/>
          <w:lang w:val="en-US"/>
        </w:rPr>
        <w:t>E</w:t>
      </w:r>
      <w:r w:rsidRPr="0024760A">
        <w:rPr>
          <w:b/>
          <w:bCs/>
          <w:lang w:val="en-US"/>
        </w:rPr>
        <w:t>stima</w:t>
      </w:r>
      <w:r w:rsidR="00AE0B82">
        <w:rPr>
          <w:b/>
          <w:bCs/>
          <w:lang w:val="en-US"/>
        </w:rPr>
        <w:t>tion of errors</w:t>
      </w:r>
    </w:p>
    <w:p w14:paraId="71EBBAB5" w14:textId="5ABD76BE" w:rsidR="00EB56D5" w:rsidRPr="0024760A" w:rsidRDefault="00AE0B82" w:rsidP="00EB56D5">
      <w:pPr>
        <w:jc w:val="both"/>
        <w:rPr>
          <w:lang w:val="en-US"/>
        </w:rPr>
      </w:pPr>
      <w:r w:rsidRPr="00AE0B82">
        <w:rPr>
          <w:lang w:val="en-US"/>
        </w:rPr>
        <w:t>Replication was the method used to estimate errors</w:t>
      </w:r>
      <w:r w:rsidR="00880922" w:rsidRPr="0024760A">
        <w:rPr>
          <w:lang w:val="en-US"/>
        </w:rPr>
        <w:t>.</w:t>
      </w:r>
      <w:r w:rsidR="00E85106" w:rsidRPr="00E85106">
        <w:rPr>
          <w:rStyle w:val="Refdenotaderodap"/>
          <w:lang w:val="en-US"/>
        </w:rPr>
        <w:t xml:space="preserve"> </w:t>
      </w:r>
      <w:r w:rsidR="00E85106" w:rsidRPr="00AE0B82">
        <w:rPr>
          <w:rStyle w:val="Refdenotaderodap"/>
          <w:lang w:val="en-US"/>
        </w:rPr>
        <w:footnoteRef/>
      </w:r>
    </w:p>
    <w:p w14:paraId="28B84184" w14:textId="77777777" w:rsidR="00EB56D5" w:rsidRPr="0024760A" w:rsidRDefault="00EB56D5" w:rsidP="00EB56D5">
      <w:pPr>
        <w:rPr>
          <w:rFonts w:eastAsiaTheme="minorEastAsia"/>
          <w:lang w:val="en-US"/>
        </w:rPr>
      </w:pPr>
    </w:p>
    <w:p w14:paraId="2A7DBDF5" w14:textId="19F55CBD" w:rsidR="00695274" w:rsidRPr="0024760A" w:rsidRDefault="00695274">
      <w:pPr>
        <w:rPr>
          <w:b/>
          <w:bCs/>
          <w:lang w:val="en-US"/>
        </w:rPr>
      </w:pPr>
    </w:p>
    <w:sectPr w:rsidR="00695274" w:rsidRPr="0024760A" w:rsidSect="007B24C4">
      <w:headerReference w:type="default" r:id="rId8"/>
      <w:footerReference w:type="default" r:id="rId9"/>
      <w:pgSz w:w="11906" w:h="16838"/>
      <w:pgMar w:top="2977" w:right="849" w:bottom="1843" w:left="851" w:header="73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08A7B9" w14:textId="77777777" w:rsidR="00B135D0" w:rsidRDefault="00B135D0" w:rsidP="005D67F5">
      <w:pPr>
        <w:spacing w:after="0" w:line="240" w:lineRule="auto"/>
      </w:pPr>
      <w:r>
        <w:separator/>
      </w:r>
    </w:p>
  </w:endnote>
  <w:endnote w:type="continuationSeparator" w:id="0">
    <w:p w14:paraId="77E61264" w14:textId="77777777" w:rsidR="00B135D0" w:rsidRDefault="00B135D0" w:rsidP="005D6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Optima LT Std">
    <w:altName w:val="Optima LT Std"/>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6DA02" w14:textId="77777777" w:rsidR="00B632DB" w:rsidRDefault="00DC3775" w:rsidP="007B24C4">
    <w:pPr>
      <w:pStyle w:val="Rodap"/>
      <w:jc w:val="center"/>
    </w:pPr>
    <w:r>
      <w:rPr>
        <w:noProof/>
        <w:lang w:val="en-US"/>
      </w:rPr>
      <w:drawing>
        <wp:inline distT="0" distB="0" distL="0" distR="0" wp14:anchorId="6D138D5B" wp14:editId="29826BE0">
          <wp:extent cx="6099150" cy="860460"/>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ebmaster:Comunicacao:Papelaria:2016:CEPTRO.br:Papel de Carta:papel-de-carta-_nic_2016.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99150" cy="860460"/>
                  </a:xfrm>
                  <a:prstGeom prst="rect">
                    <a:avLst/>
                  </a:prstGeom>
                  <a:noFill/>
                  <a:ln>
                    <a:noFill/>
                  </a:ln>
                </pic:spPr>
              </pic:pic>
            </a:graphicData>
          </a:graphic>
        </wp:inline>
      </w:drawing>
    </w:r>
  </w:p>
  <w:p w14:paraId="27363BA5" w14:textId="77777777" w:rsidR="00B632DB" w:rsidRDefault="00B632D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19C981" w14:textId="77777777" w:rsidR="00B135D0" w:rsidRDefault="00B135D0" w:rsidP="005D67F5">
      <w:pPr>
        <w:spacing w:after="0" w:line="240" w:lineRule="auto"/>
      </w:pPr>
      <w:r>
        <w:separator/>
      </w:r>
    </w:p>
  </w:footnote>
  <w:footnote w:type="continuationSeparator" w:id="0">
    <w:p w14:paraId="23A4B360" w14:textId="77777777" w:rsidR="00B135D0" w:rsidRDefault="00B135D0" w:rsidP="005D67F5">
      <w:pPr>
        <w:spacing w:after="0" w:line="240" w:lineRule="auto"/>
      </w:pPr>
      <w:r>
        <w:continuationSeparator/>
      </w:r>
    </w:p>
  </w:footnote>
  <w:footnote w:id="1">
    <w:p w14:paraId="268C515F" w14:textId="70BF93B2" w:rsidR="003A1AEA" w:rsidRPr="00AE0B82" w:rsidRDefault="003A1AEA">
      <w:pPr>
        <w:pStyle w:val="Textodenotaderodap"/>
        <w:rPr>
          <w:lang w:val="en-US"/>
        </w:rPr>
      </w:pPr>
      <w:r w:rsidRPr="00AE0B82">
        <w:rPr>
          <w:rStyle w:val="Refdenotaderodap"/>
          <w:lang w:val="en-US"/>
        </w:rPr>
        <w:footnoteRef/>
      </w:r>
      <w:r w:rsidRPr="00AE0B82">
        <w:rPr>
          <w:lang w:val="en-US"/>
        </w:rPr>
        <w:t xml:space="preserve"> </w:t>
      </w:r>
      <w:r w:rsidR="00AE0B82" w:rsidRPr="00AE0B82">
        <w:rPr>
          <w:lang w:val="en-US"/>
        </w:rPr>
        <w:t>More details are available in the ICT Panel's "Methodological Report"</w:t>
      </w:r>
      <w:r w:rsidRPr="00AE0B8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12762" w14:textId="77777777" w:rsidR="005D67F5" w:rsidRPr="005D67F5" w:rsidRDefault="00920FB9" w:rsidP="007B24C4">
    <w:pPr>
      <w:pStyle w:val="Cabealho"/>
    </w:pPr>
    <w:r>
      <w:rPr>
        <w:noProof/>
        <w:lang w:val="en-US"/>
      </w:rPr>
      <w:drawing>
        <wp:inline distT="0" distB="0" distL="0" distR="0" wp14:anchorId="61E0502A" wp14:editId="757037A4">
          <wp:extent cx="944545" cy="935662"/>
          <wp:effectExtent l="0" t="0" r="8255" b="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8101" cy="94909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F26F3"/>
    <w:multiLevelType w:val="hybridMultilevel"/>
    <w:tmpl w:val="D2BE4E7A"/>
    <w:lvl w:ilvl="0" w:tplc="0416000F">
      <w:start w:val="1"/>
      <w:numFmt w:val="decimal"/>
      <w:lvlText w:val="%1."/>
      <w:lvlJc w:val="lef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1" w15:restartNumberingAfterBreak="0">
    <w:nsid w:val="02D71FE0"/>
    <w:multiLevelType w:val="hybridMultilevel"/>
    <w:tmpl w:val="446A1066"/>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 w15:restartNumberingAfterBreak="0">
    <w:nsid w:val="07E16CE8"/>
    <w:multiLevelType w:val="hybridMultilevel"/>
    <w:tmpl w:val="A658ED80"/>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3" w15:restartNumberingAfterBreak="0">
    <w:nsid w:val="1A1962C0"/>
    <w:multiLevelType w:val="hybridMultilevel"/>
    <w:tmpl w:val="3724C62C"/>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BAB1E61"/>
    <w:multiLevelType w:val="hybridMultilevel"/>
    <w:tmpl w:val="551EB974"/>
    <w:lvl w:ilvl="0" w:tplc="04160013">
      <w:start w:val="1"/>
      <w:numFmt w:val="upperRoman"/>
      <w:lvlText w:val="%1."/>
      <w:lvlJc w:val="righ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 w15:restartNumberingAfterBreak="0">
    <w:nsid w:val="20A51F2D"/>
    <w:multiLevelType w:val="hybridMultilevel"/>
    <w:tmpl w:val="5CEAE51E"/>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 w15:restartNumberingAfterBreak="0">
    <w:nsid w:val="31165D0C"/>
    <w:multiLevelType w:val="hybridMultilevel"/>
    <w:tmpl w:val="9DB6D9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36DF5312"/>
    <w:multiLevelType w:val="hybridMultilevel"/>
    <w:tmpl w:val="352C376A"/>
    <w:lvl w:ilvl="0" w:tplc="04160013">
      <w:start w:val="1"/>
      <w:numFmt w:val="upperRoman"/>
      <w:lvlText w:val="%1."/>
      <w:lvlJc w:val="righ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8" w15:restartNumberingAfterBreak="0">
    <w:nsid w:val="455A3F01"/>
    <w:multiLevelType w:val="hybridMultilevel"/>
    <w:tmpl w:val="6F22CA1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607A0468"/>
    <w:multiLevelType w:val="hybridMultilevel"/>
    <w:tmpl w:val="EF16B4BE"/>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6C80297B"/>
    <w:multiLevelType w:val="hybridMultilevel"/>
    <w:tmpl w:val="B37AD81E"/>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7A3C1B40"/>
    <w:multiLevelType w:val="hybridMultilevel"/>
    <w:tmpl w:val="1D965BF8"/>
    <w:lvl w:ilvl="0" w:tplc="04160001">
      <w:start w:val="1"/>
      <w:numFmt w:val="bullet"/>
      <w:lvlText w:val=""/>
      <w:lvlJc w:val="left"/>
      <w:pPr>
        <w:ind w:left="770" w:hanging="360"/>
      </w:pPr>
      <w:rPr>
        <w:rFonts w:ascii="Symbol" w:hAnsi="Symbol" w:hint="default"/>
      </w:rPr>
    </w:lvl>
    <w:lvl w:ilvl="1" w:tplc="04160003" w:tentative="1">
      <w:start w:val="1"/>
      <w:numFmt w:val="bullet"/>
      <w:lvlText w:val="o"/>
      <w:lvlJc w:val="left"/>
      <w:pPr>
        <w:ind w:left="1490" w:hanging="360"/>
      </w:pPr>
      <w:rPr>
        <w:rFonts w:ascii="Courier New" w:hAnsi="Courier New" w:cs="Courier New" w:hint="default"/>
      </w:rPr>
    </w:lvl>
    <w:lvl w:ilvl="2" w:tplc="04160005" w:tentative="1">
      <w:start w:val="1"/>
      <w:numFmt w:val="bullet"/>
      <w:lvlText w:val=""/>
      <w:lvlJc w:val="left"/>
      <w:pPr>
        <w:ind w:left="2210" w:hanging="360"/>
      </w:pPr>
      <w:rPr>
        <w:rFonts w:ascii="Wingdings" w:hAnsi="Wingdings" w:hint="default"/>
      </w:rPr>
    </w:lvl>
    <w:lvl w:ilvl="3" w:tplc="04160001" w:tentative="1">
      <w:start w:val="1"/>
      <w:numFmt w:val="bullet"/>
      <w:lvlText w:val=""/>
      <w:lvlJc w:val="left"/>
      <w:pPr>
        <w:ind w:left="2930" w:hanging="360"/>
      </w:pPr>
      <w:rPr>
        <w:rFonts w:ascii="Symbol" w:hAnsi="Symbol" w:hint="default"/>
      </w:rPr>
    </w:lvl>
    <w:lvl w:ilvl="4" w:tplc="04160003" w:tentative="1">
      <w:start w:val="1"/>
      <w:numFmt w:val="bullet"/>
      <w:lvlText w:val="o"/>
      <w:lvlJc w:val="left"/>
      <w:pPr>
        <w:ind w:left="3650" w:hanging="360"/>
      </w:pPr>
      <w:rPr>
        <w:rFonts w:ascii="Courier New" w:hAnsi="Courier New" w:cs="Courier New" w:hint="default"/>
      </w:rPr>
    </w:lvl>
    <w:lvl w:ilvl="5" w:tplc="04160005" w:tentative="1">
      <w:start w:val="1"/>
      <w:numFmt w:val="bullet"/>
      <w:lvlText w:val=""/>
      <w:lvlJc w:val="left"/>
      <w:pPr>
        <w:ind w:left="4370" w:hanging="360"/>
      </w:pPr>
      <w:rPr>
        <w:rFonts w:ascii="Wingdings" w:hAnsi="Wingdings" w:hint="default"/>
      </w:rPr>
    </w:lvl>
    <w:lvl w:ilvl="6" w:tplc="04160001" w:tentative="1">
      <w:start w:val="1"/>
      <w:numFmt w:val="bullet"/>
      <w:lvlText w:val=""/>
      <w:lvlJc w:val="left"/>
      <w:pPr>
        <w:ind w:left="5090" w:hanging="360"/>
      </w:pPr>
      <w:rPr>
        <w:rFonts w:ascii="Symbol" w:hAnsi="Symbol" w:hint="default"/>
      </w:rPr>
    </w:lvl>
    <w:lvl w:ilvl="7" w:tplc="04160003" w:tentative="1">
      <w:start w:val="1"/>
      <w:numFmt w:val="bullet"/>
      <w:lvlText w:val="o"/>
      <w:lvlJc w:val="left"/>
      <w:pPr>
        <w:ind w:left="5810" w:hanging="360"/>
      </w:pPr>
      <w:rPr>
        <w:rFonts w:ascii="Courier New" w:hAnsi="Courier New" w:cs="Courier New" w:hint="default"/>
      </w:rPr>
    </w:lvl>
    <w:lvl w:ilvl="8" w:tplc="04160005" w:tentative="1">
      <w:start w:val="1"/>
      <w:numFmt w:val="bullet"/>
      <w:lvlText w:val=""/>
      <w:lvlJc w:val="left"/>
      <w:pPr>
        <w:ind w:left="6530" w:hanging="360"/>
      </w:pPr>
      <w:rPr>
        <w:rFonts w:ascii="Wingdings" w:hAnsi="Wingdings" w:hint="default"/>
      </w:rPr>
    </w:lvl>
  </w:abstractNum>
  <w:num w:numId="1" w16cid:durableId="2037266237">
    <w:abstractNumId w:val="2"/>
  </w:num>
  <w:num w:numId="2" w16cid:durableId="254099491">
    <w:abstractNumId w:val="0"/>
  </w:num>
  <w:num w:numId="3" w16cid:durableId="750126607">
    <w:abstractNumId w:val="10"/>
  </w:num>
  <w:num w:numId="4" w16cid:durableId="1958638712">
    <w:abstractNumId w:val="9"/>
  </w:num>
  <w:num w:numId="5" w16cid:durableId="468935421">
    <w:abstractNumId w:val="1"/>
  </w:num>
  <w:num w:numId="6" w16cid:durableId="1996493364">
    <w:abstractNumId w:val="5"/>
  </w:num>
  <w:num w:numId="7" w16cid:durableId="1959675716">
    <w:abstractNumId w:val="8"/>
  </w:num>
  <w:num w:numId="8" w16cid:durableId="1701200709">
    <w:abstractNumId w:val="3"/>
  </w:num>
  <w:num w:numId="9" w16cid:durableId="506134635">
    <w:abstractNumId w:val="7"/>
  </w:num>
  <w:num w:numId="10" w16cid:durableId="1244605149">
    <w:abstractNumId w:val="4"/>
  </w:num>
  <w:num w:numId="11" w16cid:durableId="364716973">
    <w:abstractNumId w:val="11"/>
  </w:num>
  <w:num w:numId="12" w16cid:durableId="877756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7F5"/>
    <w:rsid w:val="00005C5F"/>
    <w:rsid w:val="00006A58"/>
    <w:rsid w:val="00012C13"/>
    <w:rsid w:val="0001504B"/>
    <w:rsid w:val="00015A9C"/>
    <w:rsid w:val="00017754"/>
    <w:rsid w:val="000231F5"/>
    <w:rsid w:val="00035F9A"/>
    <w:rsid w:val="00040544"/>
    <w:rsid w:val="00042E9A"/>
    <w:rsid w:val="00056BE5"/>
    <w:rsid w:val="00074861"/>
    <w:rsid w:val="00094B67"/>
    <w:rsid w:val="00095580"/>
    <w:rsid w:val="000A6725"/>
    <w:rsid w:val="000B48CF"/>
    <w:rsid w:val="000B539C"/>
    <w:rsid w:val="000B6071"/>
    <w:rsid w:val="000B6F99"/>
    <w:rsid w:val="000D02C5"/>
    <w:rsid w:val="000D094F"/>
    <w:rsid w:val="000D6203"/>
    <w:rsid w:val="000E1AC9"/>
    <w:rsid w:val="000F13FA"/>
    <w:rsid w:val="00107840"/>
    <w:rsid w:val="00111237"/>
    <w:rsid w:val="00112AEF"/>
    <w:rsid w:val="00114757"/>
    <w:rsid w:val="001232FB"/>
    <w:rsid w:val="00134738"/>
    <w:rsid w:val="00174D0B"/>
    <w:rsid w:val="00175675"/>
    <w:rsid w:val="00177953"/>
    <w:rsid w:val="00182B16"/>
    <w:rsid w:val="001A569A"/>
    <w:rsid w:val="001C2289"/>
    <w:rsid w:val="001D4943"/>
    <w:rsid w:val="001E6680"/>
    <w:rsid w:val="00202DCB"/>
    <w:rsid w:val="00211441"/>
    <w:rsid w:val="00221D73"/>
    <w:rsid w:val="00223F84"/>
    <w:rsid w:val="002256D0"/>
    <w:rsid w:val="00227562"/>
    <w:rsid w:val="00233570"/>
    <w:rsid w:val="00235CF8"/>
    <w:rsid w:val="002362FD"/>
    <w:rsid w:val="00240AB1"/>
    <w:rsid w:val="00241707"/>
    <w:rsid w:val="00245603"/>
    <w:rsid w:val="0024760A"/>
    <w:rsid w:val="002515FD"/>
    <w:rsid w:val="00262C6E"/>
    <w:rsid w:val="00275252"/>
    <w:rsid w:val="0027588A"/>
    <w:rsid w:val="0029076B"/>
    <w:rsid w:val="002910FB"/>
    <w:rsid w:val="00297963"/>
    <w:rsid w:val="002A0FB1"/>
    <w:rsid w:val="002A2A17"/>
    <w:rsid w:val="002C3E8C"/>
    <w:rsid w:val="002D1207"/>
    <w:rsid w:val="002D4965"/>
    <w:rsid w:val="002E77FD"/>
    <w:rsid w:val="002F4763"/>
    <w:rsid w:val="002F5E18"/>
    <w:rsid w:val="003166E2"/>
    <w:rsid w:val="00317695"/>
    <w:rsid w:val="00324BC5"/>
    <w:rsid w:val="00325305"/>
    <w:rsid w:val="003447A0"/>
    <w:rsid w:val="00352479"/>
    <w:rsid w:val="003572F9"/>
    <w:rsid w:val="00360B37"/>
    <w:rsid w:val="003724FF"/>
    <w:rsid w:val="00380417"/>
    <w:rsid w:val="00381311"/>
    <w:rsid w:val="0038348C"/>
    <w:rsid w:val="0038608E"/>
    <w:rsid w:val="00387683"/>
    <w:rsid w:val="00391051"/>
    <w:rsid w:val="003A1AEA"/>
    <w:rsid w:val="003A7818"/>
    <w:rsid w:val="003B227C"/>
    <w:rsid w:val="003B3B44"/>
    <w:rsid w:val="003C1EFF"/>
    <w:rsid w:val="003D2142"/>
    <w:rsid w:val="003E4217"/>
    <w:rsid w:val="003E5C4C"/>
    <w:rsid w:val="003E7559"/>
    <w:rsid w:val="003F1A4A"/>
    <w:rsid w:val="003F72A2"/>
    <w:rsid w:val="00401B8A"/>
    <w:rsid w:val="00402778"/>
    <w:rsid w:val="00411483"/>
    <w:rsid w:val="00424E1F"/>
    <w:rsid w:val="004439B3"/>
    <w:rsid w:val="0044453A"/>
    <w:rsid w:val="0047566E"/>
    <w:rsid w:val="004960AC"/>
    <w:rsid w:val="004B629F"/>
    <w:rsid w:val="004C3407"/>
    <w:rsid w:val="004D097B"/>
    <w:rsid w:val="004D173A"/>
    <w:rsid w:val="004D4CE4"/>
    <w:rsid w:val="004E4D3C"/>
    <w:rsid w:val="004E72AC"/>
    <w:rsid w:val="004F7A80"/>
    <w:rsid w:val="00513890"/>
    <w:rsid w:val="00515038"/>
    <w:rsid w:val="00526F56"/>
    <w:rsid w:val="00530E12"/>
    <w:rsid w:val="00531A0F"/>
    <w:rsid w:val="0057315E"/>
    <w:rsid w:val="005732AD"/>
    <w:rsid w:val="005746C3"/>
    <w:rsid w:val="00583C5F"/>
    <w:rsid w:val="00584C6D"/>
    <w:rsid w:val="00585D10"/>
    <w:rsid w:val="0059509E"/>
    <w:rsid w:val="005B13E6"/>
    <w:rsid w:val="005D05F8"/>
    <w:rsid w:val="005D27C7"/>
    <w:rsid w:val="005D3320"/>
    <w:rsid w:val="005D67F5"/>
    <w:rsid w:val="005E0B98"/>
    <w:rsid w:val="005E10D1"/>
    <w:rsid w:val="005E2167"/>
    <w:rsid w:val="005E76C7"/>
    <w:rsid w:val="005F7B75"/>
    <w:rsid w:val="00606A0F"/>
    <w:rsid w:val="0062447A"/>
    <w:rsid w:val="00624FD2"/>
    <w:rsid w:val="0063035C"/>
    <w:rsid w:val="00637D6E"/>
    <w:rsid w:val="006434BA"/>
    <w:rsid w:val="00644174"/>
    <w:rsid w:val="00653F53"/>
    <w:rsid w:val="006925EC"/>
    <w:rsid w:val="00695274"/>
    <w:rsid w:val="006A5BB4"/>
    <w:rsid w:val="006B3BA3"/>
    <w:rsid w:val="006B5E16"/>
    <w:rsid w:val="006C35BD"/>
    <w:rsid w:val="006E4906"/>
    <w:rsid w:val="006F2E16"/>
    <w:rsid w:val="0070524E"/>
    <w:rsid w:val="007064B2"/>
    <w:rsid w:val="007120CA"/>
    <w:rsid w:val="00717F31"/>
    <w:rsid w:val="00721003"/>
    <w:rsid w:val="007213CB"/>
    <w:rsid w:val="00724362"/>
    <w:rsid w:val="00726627"/>
    <w:rsid w:val="00734119"/>
    <w:rsid w:val="007439A3"/>
    <w:rsid w:val="00744789"/>
    <w:rsid w:val="00750D22"/>
    <w:rsid w:val="0077018E"/>
    <w:rsid w:val="00774C4E"/>
    <w:rsid w:val="007800A3"/>
    <w:rsid w:val="00792BC4"/>
    <w:rsid w:val="007A09F7"/>
    <w:rsid w:val="007B1A58"/>
    <w:rsid w:val="007B24C4"/>
    <w:rsid w:val="007C63EF"/>
    <w:rsid w:val="007E4197"/>
    <w:rsid w:val="007E7FE7"/>
    <w:rsid w:val="007F72C3"/>
    <w:rsid w:val="00803C75"/>
    <w:rsid w:val="0080548B"/>
    <w:rsid w:val="00807BCA"/>
    <w:rsid w:val="00812B62"/>
    <w:rsid w:val="008137FA"/>
    <w:rsid w:val="008144BF"/>
    <w:rsid w:val="00824578"/>
    <w:rsid w:val="00830A2B"/>
    <w:rsid w:val="00837970"/>
    <w:rsid w:val="00855442"/>
    <w:rsid w:val="0085621D"/>
    <w:rsid w:val="00880922"/>
    <w:rsid w:val="008B316F"/>
    <w:rsid w:val="008B4C1B"/>
    <w:rsid w:val="008B5A1E"/>
    <w:rsid w:val="008C4D3D"/>
    <w:rsid w:val="008D01F0"/>
    <w:rsid w:val="008D36EE"/>
    <w:rsid w:val="008E0004"/>
    <w:rsid w:val="008E1AB2"/>
    <w:rsid w:val="008E2BAA"/>
    <w:rsid w:val="008F3184"/>
    <w:rsid w:val="00917B8B"/>
    <w:rsid w:val="00920FB9"/>
    <w:rsid w:val="00925804"/>
    <w:rsid w:val="0093512F"/>
    <w:rsid w:val="009531E8"/>
    <w:rsid w:val="00955FF2"/>
    <w:rsid w:val="009561AA"/>
    <w:rsid w:val="00974FED"/>
    <w:rsid w:val="009750FB"/>
    <w:rsid w:val="00984FE8"/>
    <w:rsid w:val="009879B0"/>
    <w:rsid w:val="0099572E"/>
    <w:rsid w:val="009A3E15"/>
    <w:rsid w:val="009B0761"/>
    <w:rsid w:val="009C06A8"/>
    <w:rsid w:val="009C304C"/>
    <w:rsid w:val="009C7F93"/>
    <w:rsid w:val="009D077B"/>
    <w:rsid w:val="009D3FB8"/>
    <w:rsid w:val="009F3170"/>
    <w:rsid w:val="009F6371"/>
    <w:rsid w:val="00A10DFF"/>
    <w:rsid w:val="00A163BB"/>
    <w:rsid w:val="00A24DC2"/>
    <w:rsid w:val="00A25CD0"/>
    <w:rsid w:val="00A31AC0"/>
    <w:rsid w:val="00A46DED"/>
    <w:rsid w:val="00A64EF7"/>
    <w:rsid w:val="00A70966"/>
    <w:rsid w:val="00A85C8E"/>
    <w:rsid w:val="00AB39AC"/>
    <w:rsid w:val="00AC4816"/>
    <w:rsid w:val="00AC4F22"/>
    <w:rsid w:val="00AD6777"/>
    <w:rsid w:val="00AD7D67"/>
    <w:rsid w:val="00AE0B82"/>
    <w:rsid w:val="00AE7831"/>
    <w:rsid w:val="00AF4A51"/>
    <w:rsid w:val="00B135D0"/>
    <w:rsid w:val="00B24E3C"/>
    <w:rsid w:val="00B309BB"/>
    <w:rsid w:val="00B54448"/>
    <w:rsid w:val="00B61646"/>
    <w:rsid w:val="00B632DB"/>
    <w:rsid w:val="00B92775"/>
    <w:rsid w:val="00B9346C"/>
    <w:rsid w:val="00B955CA"/>
    <w:rsid w:val="00B9692A"/>
    <w:rsid w:val="00BA3893"/>
    <w:rsid w:val="00BA797D"/>
    <w:rsid w:val="00BB6625"/>
    <w:rsid w:val="00BD0001"/>
    <w:rsid w:val="00BD3F39"/>
    <w:rsid w:val="00C3605E"/>
    <w:rsid w:val="00C37103"/>
    <w:rsid w:val="00C60EE1"/>
    <w:rsid w:val="00C775A1"/>
    <w:rsid w:val="00C80D23"/>
    <w:rsid w:val="00CB0ACF"/>
    <w:rsid w:val="00CC0B54"/>
    <w:rsid w:val="00CD7466"/>
    <w:rsid w:val="00CE4234"/>
    <w:rsid w:val="00CF17E6"/>
    <w:rsid w:val="00D015F4"/>
    <w:rsid w:val="00D028FF"/>
    <w:rsid w:val="00D1437B"/>
    <w:rsid w:val="00D25704"/>
    <w:rsid w:val="00D5668E"/>
    <w:rsid w:val="00D57D1F"/>
    <w:rsid w:val="00DA01D0"/>
    <w:rsid w:val="00DA6627"/>
    <w:rsid w:val="00DB2B8D"/>
    <w:rsid w:val="00DC3775"/>
    <w:rsid w:val="00E153B0"/>
    <w:rsid w:val="00E27E1F"/>
    <w:rsid w:val="00E56827"/>
    <w:rsid w:val="00E63696"/>
    <w:rsid w:val="00E85106"/>
    <w:rsid w:val="00EA10F8"/>
    <w:rsid w:val="00EB2CDB"/>
    <w:rsid w:val="00EB3600"/>
    <w:rsid w:val="00EB42BE"/>
    <w:rsid w:val="00EB56D5"/>
    <w:rsid w:val="00EB770F"/>
    <w:rsid w:val="00EC1617"/>
    <w:rsid w:val="00EC4840"/>
    <w:rsid w:val="00ED27D3"/>
    <w:rsid w:val="00ED356C"/>
    <w:rsid w:val="00EE6CF9"/>
    <w:rsid w:val="00F06502"/>
    <w:rsid w:val="00F15D6A"/>
    <w:rsid w:val="00F42A8C"/>
    <w:rsid w:val="00F44589"/>
    <w:rsid w:val="00F54082"/>
    <w:rsid w:val="00F54922"/>
    <w:rsid w:val="00F9376E"/>
    <w:rsid w:val="00FC010B"/>
    <w:rsid w:val="00FC6D6D"/>
    <w:rsid w:val="00FD0209"/>
    <w:rsid w:val="00FD2291"/>
    <w:rsid w:val="00FD47DB"/>
    <w:rsid w:val="00FE2A5F"/>
    <w:rsid w:val="00FF09E1"/>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F4C3187"/>
  <w15:docId w15:val="{BFF03BB6-81BF-4DA7-A0EF-64C79638C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5D67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semiHidden/>
    <w:unhideWhenUsed/>
    <w:qFormat/>
    <w:rsid w:val="00EB56D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5D67F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D67F5"/>
    <w:rPr>
      <w:rFonts w:ascii="Tahoma" w:hAnsi="Tahoma" w:cs="Tahoma"/>
      <w:sz w:val="16"/>
      <w:szCs w:val="16"/>
    </w:rPr>
  </w:style>
  <w:style w:type="paragraph" w:styleId="Cabealho">
    <w:name w:val="header"/>
    <w:basedOn w:val="Normal"/>
    <w:link w:val="CabealhoChar"/>
    <w:uiPriority w:val="99"/>
    <w:unhideWhenUsed/>
    <w:rsid w:val="005D67F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D67F5"/>
  </w:style>
  <w:style w:type="paragraph" w:styleId="Rodap">
    <w:name w:val="footer"/>
    <w:basedOn w:val="Normal"/>
    <w:link w:val="RodapChar"/>
    <w:uiPriority w:val="99"/>
    <w:unhideWhenUsed/>
    <w:rsid w:val="005D67F5"/>
    <w:pPr>
      <w:tabs>
        <w:tab w:val="center" w:pos="4252"/>
        <w:tab w:val="right" w:pos="8504"/>
      </w:tabs>
      <w:spacing w:after="0" w:line="240" w:lineRule="auto"/>
    </w:pPr>
  </w:style>
  <w:style w:type="character" w:customStyle="1" w:styleId="RodapChar">
    <w:name w:val="Rodapé Char"/>
    <w:basedOn w:val="Fontepargpadro"/>
    <w:link w:val="Rodap"/>
    <w:uiPriority w:val="99"/>
    <w:rsid w:val="005D67F5"/>
  </w:style>
  <w:style w:type="paragraph" w:styleId="SemEspaamento">
    <w:name w:val="No Spacing"/>
    <w:uiPriority w:val="1"/>
    <w:qFormat/>
    <w:rsid w:val="005D67F5"/>
    <w:pPr>
      <w:spacing w:after="0" w:line="240" w:lineRule="auto"/>
    </w:pPr>
  </w:style>
  <w:style w:type="character" w:customStyle="1" w:styleId="Ttulo1Char">
    <w:name w:val="Título 1 Char"/>
    <w:basedOn w:val="Fontepargpadro"/>
    <w:link w:val="Ttulo1"/>
    <w:uiPriority w:val="9"/>
    <w:rsid w:val="005D67F5"/>
    <w:rPr>
      <w:rFonts w:asciiTheme="majorHAnsi" w:eastAsiaTheme="majorEastAsia" w:hAnsiTheme="majorHAnsi" w:cstheme="majorBidi"/>
      <w:b/>
      <w:bCs/>
      <w:color w:val="365F91" w:themeColor="accent1" w:themeShade="BF"/>
      <w:sz w:val="28"/>
      <w:szCs w:val="28"/>
    </w:rPr>
  </w:style>
  <w:style w:type="paragraph" w:styleId="PargrafodaLista">
    <w:name w:val="List Paragraph"/>
    <w:basedOn w:val="Normal"/>
    <w:uiPriority w:val="34"/>
    <w:qFormat/>
    <w:rsid w:val="00C775A1"/>
    <w:pPr>
      <w:ind w:left="720"/>
      <w:contextualSpacing/>
    </w:pPr>
  </w:style>
  <w:style w:type="character" w:customStyle="1" w:styleId="Ttulo2Char">
    <w:name w:val="Título 2 Char"/>
    <w:basedOn w:val="Fontepargpadro"/>
    <w:link w:val="Ttulo2"/>
    <w:uiPriority w:val="9"/>
    <w:semiHidden/>
    <w:rsid w:val="00EB56D5"/>
    <w:rPr>
      <w:rFonts w:asciiTheme="majorHAnsi" w:eastAsiaTheme="majorEastAsia" w:hAnsiTheme="majorHAnsi" w:cstheme="majorBidi"/>
      <w:color w:val="365F91" w:themeColor="accent1" w:themeShade="BF"/>
      <w:sz w:val="26"/>
      <w:szCs w:val="26"/>
    </w:rPr>
  </w:style>
  <w:style w:type="character" w:styleId="Refdecomentrio">
    <w:name w:val="annotation reference"/>
    <w:basedOn w:val="Fontepargpadro"/>
    <w:uiPriority w:val="99"/>
    <w:semiHidden/>
    <w:unhideWhenUsed/>
    <w:rsid w:val="00EB56D5"/>
    <w:rPr>
      <w:sz w:val="16"/>
      <w:szCs w:val="16"/>
    </w:rPr>
  </w:style>
  <w:style w:type="paragraph" w:styleId="Textodecomentrio">
    <w:name w:val="annotation text"/>
    <w:basedOn w:val="Normal"/>
    <w:link w:val="TextodecomentrioChar"/>
    <w:uiPriority w:val="99"/>
    <w:unhideWhenUsed/>
    <w:rsid w:val="00EB56D5"/>
    <w:pPr>
      <w:spacing w:after="160" w:line="240" w:lineRule="auto"/>
    </w:pPr>
    <w:rPr>
      <w:sz w:val="20"/>
      <w:szCs w:val="20"/>
    </w:rPr>
  </w:style>
  <w:style w:type="character" w:customStyle="1" w:styleId="TextodecomentrioChar">
    <w:name w:val="Texto de comentário Char"/>
    <w:basedOn w:val="Fontepargpadro"/>
    <w:link w:val="Textodecomentrio"/>
    <w:uiPriority w:val="99"/>
    <w:rsid w:val="00EB56D5"/>
    <w:rPr>
      <w:sz w:val="20"/>
      <w:szCs w:val="20"/>
    </w:rPr>
  </w:style>
  <w:style w:type="paragraph" w:styleId="Assuntodocomentrio">
    <w:name w:val="annotation subject"/>
    <w:basedOn w:val="Textodecomentrio"/>
    <w:next w:val="Textodecomentrio"/>
    <w:link w:val="AssuntodocomentrioChar"/>
    <w:uiPriority w:val="99"/>
    <w:semiHidden/>
    <w:unhideWhenUsed/>
    <w:rsid w:val="00EB56D5"/>
    <w:rPr>
      <w:b/>
      <w:bCs/>
    </w:rPr>
  </w:style>
  <w:style w:type="character" w:customStyle="1" w:styleId="AssuntodocomentrioChar">
    <w:name w:val="Assunto do comentário Char"/>
    <w:basedOn w:val="TextodecomentrioChar"/>
    <w:link w:val="Assuntodocomentrio"/>
    <w:uiPriority w:val="99"/>
    <w:semiHidden/>
    <w:rsid w:val="00EB56D5"/>
    <w:rPr>
      <w:b/>
      <w:bCs/>
      <w:sz w:val="20"/>
      <w:szCs w:val="20"/>
    </w:rPr>
  </w:style>
  <w:style w:type="paragraph" w:styleId="Textodenotaderodap">
    <w:name w:val="footnote text"/>
    <w:basedOn w:val="Normal"/>
    <w:link w:val="TextodenotaderodapChar"/>
    <w:autoRedefine/>
    <w:uiPriority w:val="99"/>
    <w:semiHidden/>
    <w:unhideWhenUsed/>
    <w:rsid w:val="005E10D1"/>
    <w:pPr>
      <w:spacing w:after="0" w:line="240" w:lineRule="auto"/>
      <w:jc w:val="both"/>
    </w:pPr>
    <w:rPr>
      <w:sz w:val="20"/>
      <w:szCs w:val="20"/>
    </w:rPr>
  </w:style>
  <w:style w:type="character" w:customStyle="1" w:styleId="TextodenotaderodapChar">
    <w:name w:val="Texto de nota de rodapé Char"/>
    <w:basedOn w:val="Fontepargpadro"/>
    <w:link w:val="Textodenotaderodap"/>
    <w:uiPriority w:val="99"/>
    <w:semiHidden/>
    <w:rsid w:val="005E10D1"/>
    <w:rPr>
      <w:sz w:val="20"/>
      <w:szCs w:val="20"/>
    </w:rPr>
  </w:style>
  <w:style w:type="character" w:styleId="Refdenotaderodap">
    <w:name w:val="footnote reference"/>
    <w:basedOn w:val="Fontepargpadro"/>
    <w:uiPriority w:val="99"/>
    <w:semiHidden/>
    <w:unhideWhenUsed/>
    <w:rsid w:val="00EB56D5"/>
    <w:rPr>
      <w:vertAlign w:val="superscript"/>
    </w:rPr>
  </w:style>
  <w:style w:type="character" w:styleId="Hyperlink">
    <w:name w:val="Hyperlink"/>
    <w:basedOn w:val="Fontepargpadro"/>
    <w:uiPriority w:val="99"/>
    <w:unhideWhenUsed/>
    <w:rsid w:val="00EB56D5"/>
    <w:rPr>
      <w:color w:val="0000FF"/>
      <w:u w:val="single"/>
    </w:rPr>
  </w:style>
  <w:style w:type="character" w:styleId="TextodoEspaoReservado">
    <w:name w:val="Placeholder Text"/>
    <w:basedOn w:val="Fontepargpadro"/>
    <w:uiPriority w:val="99"/>
    <w:semiHidden/>
    <w:rsid w:val="00EB56D5"/>
    <w:rPr>
      <w:color w:val="808080"/>
    </w:rPr>
  </w:style>
  <w:style w:type="table" w:styleId="Tabelacomgrade">
    <w:name w:val="Table Grid"/>
    <w:basedOn w:val="Tabelanormal"/>
    <w:uiPriority w:val="39"/>
    <w:rsid w:val="00EB56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oPendente1">
    <w:name w:val="Menção Pendente1"/>
    <w:basedOn w:val="Fontepargpadro"/>
    <w:uiPriority w:val="99"/>
    <w:semiHidden/>
    <w:unhideWhenUsed/>
    <w:rsid w:val="00EB56D5"/>
    <w:rPr>
      <w:color w:val="605E5C"/>
      <w:shd w:val="clear" w:color="auto" w:fill="E1DFDD"/>
    </w:rPr>
  </w:style>
  <w:style w:type="paragraph" w:styleId="Reviso">
    <w:name w:val="Revision"/>
    <w:hidden/>
    <w:uiPriority w:val="99"/>
    <w:semiHidden/>
    <w:rsid w:val="00EB56D5"/>
    <w:pPr>
      <w:spacing w:after="0" w:line="240" w:lineRule="auto"/>
    </w:pPr>
  </w:style>
  <w:style w:type="character" w:customStyle="1" w:styleId="A1">
    <w:name w:val="A1"/>
    <w:uiPriority w:val="99"/>
    <w:rsid w:val="00EB56D5"/>
    <w:rPr>
      <w:rFonts w:cs="Optima LT Std"/>
      <w:color w:val="000000"/>
      <w:sz w:val="18"/>
      <w:szCs w:val="18"/>
    </w:rPr>
  </w:style>
  <w:style w:type="character" w:styleId="MenoPendente">
    <w:name w:val="Unresolved Mention"/>
    <w:basedOn w:val="Fontepargpadro"/>
    <w:uiPriority w:val="99"/>
    <w:semiHidden/>
    <w:unhideWhenUsed/>
    <w:rsid w:val="00297963"/>
    <w:rPr>
      <w:color w:val="605E5C"/>
      <w:shd w:val="clear" w:color="auto" w:fill="E1DFDD"/>
    </w:rPr>
  </w:style>
  <w:style w:type="paragraph" w:styleId="Legenda">
    <w:name w:val="caption"/>
    <w:basedOn w:val="Normal"/>
    <w:next w:val="Corpodetexto"/>
    <w:autoRedefine/>
    <w:uiPriority w:val="35"/>
    <w:unhideWhenUsed/>
    <w:qFormat/>
    <w:rsid w:val="00134738"/>
    <w:pPr>
      <w:keepNext/>
      <w:spacing w:before="240" w:after="0" w:line="240" w:lineRule="auto"/>
      <w:contextualSpacing/>
      <w:jc w:val="both"/>
    </w:pPr>
    <w:rPr>
      <w:b/>
    </w:rPr>
  </w:style>
  <w:style w:type="paragraph" w:styleId="Corpodetexto">
    <w:name w:val="Body Text"/>
    <w:basedOn w:val="Normal"/>
    <w:link w:val="CorpodetextoChar"/>
    <w:uiPriority w:val="99"/>
    <w:semiHidden/>
    <w:unhideWhenUsed/>
    <w:rsid w:val="00EB770F"/>
    <w:pPr>
      <w:spacing w:after="120"/>
    </w:pPr>
  </w:style>
  <w:style w:type="character" w:customStyle="1" w:styleId="CorpodetextoChar">
    <w:name w:val="Corpo de texto Char"/>
    <w:basedOn w:val="Fontepargpadro"/>
    <w:link w:val="Corpodetexto"/>
    <w:uiPriority w:val="99"/>
    <w:semiHidden/>
    <w:rsid w:val="00EB77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39997">
      <w:bodyDiv w:val="1"/>
      <w:marLeft w:val="0"/>
      <w:marRight w:val="0"/>
      <w:marTop w:val="0"/>
      <w:marBottom w:val="0"/>
      <w:divBdr>
        <w:top w:val="none" w:sz="0" w:space="0" w:color="auto"/>
        <w:left w:val="none" w:sz="0" w:space="0" w:color="auto"/>
        <w:bottom w:val="none" w:sz="0" w:space="0" w:color="auto"/>
        <w:right w:val="none" w:sz="0" w:space="0" w:color="auto"/>
      </w:divBdr>
    </w:div>
    <w:div w:id="73894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B35E68C-16D9-DA42-9487-A63BD1B83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959</Words>
  <Characters>5302</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Klezer</dc:creator>
  <cp:lastModifiedBy>Luiza Carvalho</cp:lastModifiedBy>
  <cp:revision>4</cp:revision>
  <cp:lastPrinted>2016-03-08T13:11:00Z</cp:lastPrinted>
  <dcterms:created xsi:type="dcterms:W3CDTF">2024-07-02T13:05:00Z</dcterms:created>
  <dcterms:modified xsi:type="dcterms:W3CDTF">2024-07-02T13:08:00Z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36787de324170d5609f480d3b7559da9d975faf1ebd67999b7771952c6b6fcdf</vt:lpwstr>
  </property>
</Properties>
</file>